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rPr>
          <w:rFonts w:ascii="Arial" w:cs="Arial" w:eastAsia="Arial" w:hAnsi="Arial"/>
          <w:b/>
          <w:bCs/>
          <w:color w:val="339933"/>
          <w:spacing w:val="30"/>
          <w:sz w:val="18"/>
          <w:szCs w:val="18"/>
        </w:rPr>
        <w:t xml:space="preserve">RURAL CAPACITY ASSISTANCE PROGRAM</w:t>
      </w:r>
    </w:p>
    <w:p>
      <w:pPr>
        <w:spacing w:after="40"/>
      </w:pPr>
      <w:r>
        <w:rPr>
          <w:rFonts w:ascii="Arial" w:cs="Arial" w:eastAsia="Arial" w:hAnsi="Arial"/>
          <w:color w:val="595959"/>
          <w:sz w:val="20"/>
          <w:szCs w:val="20"/>
        </w:rPr>
        <w:t xml:space="preserve">Labor Standards Compliance Training Series</w:t>
      </w:r>
    </w:p>
    <w:p>
      <w:pPr>
        <w:spacing w:after="40"/>
      </w:pPr>
      <w:r>
        <w:rPr>
          <w:rFonts w:ascii="Arial" w:cs="Arial" w:eastAsia="Arial" w:hAnsi="Arial"/>
          <w:b/>
          <w:bCs/>
          <w:color w:val="006699"/>
          <w:sz w:val="40"/>
          <w:szCs w:val="40"/>
        </w:rPr>
        <w:t xml:space="preserve">Citation &amp; Reference Guide</w:t>
      </w:r>
    </w:p>
    <w:p>
      <w:pPr>
        <w:spacing w:after="120"/>
      </w:pPr>
      <w:r>
        <w:rPr>
          <w:rFonts w:ascii="Arial" w:cs="Arial" w:eastAsia="Arial" w:hAnsi="Arial"/>
          <w:color w:val="1F1F1F"/>
          <w:sz w:val="20"/>
          <w:szCs w:val="20"/>
        </w:rPr>
        <w:t xml:space="preserve">Consolidated legal authorities, regulations, forms, and resources cited in the Session 1–4 slide decks</w:t>
      </w:r>
    </w:p>
    <w:p>
      <w:pPr>
        <w:pBdr>
          <w:bottom w:val="single" w:color="339933" w:sz="12" w:space="4"/>
        </w:pBdr>
        <w:spacing w:after="120"/>
      </w:pPr>
      <w:r>
        <w:rPr>
          <w:rFonts w:ascii="Arial" w:cs="Arial" w:eastAsia="Arial" w:hAnsi="Arial"/>
          <w:color w:val="595959"/>
          <w:sz w:val="17"/>
          <w:szCs w:val="17"/>
        </w:rPr>
        <w:t xml:space="preserve">CAP Contract Alliance, LLC   ·   Contract FS2402A   ·   Funded through Business Oregon</w:t>
      </w:r>
    </w:p>
    <w:p>
      <w:pPr>
        <w:spacing w:after="100"/>
      </w:pPr>
      <w:r>
        <w:rPr>
          <w:rFonts w:ascii="Arial" w:cs="Arial" w:eastAsia="Arial" w:hAnsi="Arial"/>
          <w:sz w:val="19"/>
          <w:szCs w:val="19"/>
        </w:rPr>
        <w:t xml:space="preserve">This guide consolidates every statute, regulation, agency handbook, form, funding program, and key resource referenced across the four session decks. Each session section lists the citations as they appear on the slides and identifies where to find them. The master index at the end groups every authority by category for quick lookup.</w:t>
      </w:r>
    </w:p>
    <w:p>
      <w:pPr>
        <w:pBdr>
          <w:left w:val="single" w:sz="18" w:space="6"/>
        </w:pBdr>
        <w:shd w:fill="FBEFC9" w:val="clear"/>
        <w:spacing w:after="80" w:before="80"/>
        <w:ind w:left="120" w:right="120"/>
      </w:pPr>
      <w:r>
        <w:rPr>
          <w:rFonts w:ascii="Arial" w:cs="Arial" w:eastAsia="Arial" w:hAnsi="Arial"/>
          <w:b/>
          <w:bCs/>
          <w:sz w:val="18"/>
          <w:szCs w:val="18"/>
        </w:rPr>
        <w:t xml:space="preserve">Before you rely on any rate or rule: </w:t>
      </w:r>
      <w:r>
        <w:rPr>
          <w:rFonts w:ascii="Arial" w:cs="Arial" w:eastAsia="Arial" w:hAnsi="Arial"/>
          <w:sz w:val="18"/>
          <w:szCs w:val="18"/>
        </w:rPr>
        <w:t xml:space="preserve">prevailing-wage rate books are reissued (Oregon: January 1 and July 1; federal determinations are revised frequently on SAM.gov), the 2024 Davis-Bacon Final Rule has provisions under a nationwide injunction, and Oregon HB 2688 takes effect July 1, 2026. Confirm the current version of each authority against the controlling source before applying it. Throughout the program, “funding agreement” is used rather than “grant.”</w:t>
      </w:r>
    </w:p>
    <w:p>
      <w:pPr>
        <w:pStyle w:val="Heading1"/>
        <w:spacing w:after="120" w:before="240"/>
      </w:pPr>
      <w:r>
        <w:rPr>
          <w:rFonts w:ascii="Arial" w:cs="Arial" w:eastAsia="Arial" w:hAnsi="Arial"/>
          <w:b/>
          <w:bCs/>
          <w:color w:val="006699"/>
          <w:sz w:val="30"/>
          <w:szCs w:val="30"/>
        </w:rPr>
        <w:t xml:space="preserve">Session 1 — Foundations &amp; Legal Framework</w:t>
      </w:r>
    </w:p>
    <w:p>
      <w:pPr>
        <w:spacing w:after="80"/>
      </w:pPr>
      <w:r>
        <w:rPr>
          <w:rFonts w:ascii="Arial" w:cs="Arial" w:eastAsia="Arial" w:hAnsi="Arial"/>
          <w:color w:val="595959"/>
          <w:sz w:val="18"/>
          <w:szCs w:val="18"/>
        </w:rPr>
        <w:t xml:space="preserve">Scope: Oregon prevailing wage law, the federal Davis-Bacon Act, HUD labor standards, and dual-jurisdiction projects.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50"/>
        <w:gridCol w:w="5410"/>
        <w:gridCol w:w="1600"/>
      </w:tblGrid>
      <w:tr>
        <w:trPr>
          <w:tblHeader/>
        </w:trPr>
        <w:tc>
          <w:tcPr>
            <w:tcW w:type="dxa" w:w="2350"/>
            <w:tcBorders>
              <w:top w:val="single" w:color="BFBFBF" w:sz="4"/>
              <w:left w:val="single" w:color="BFBFBF" w:sz="4"/>
              <w:bottom w:val="single" w:color="BFBFBF" w:sz="4"/>
              <w:right w:val="single" w:color="BFBFBF" w:sz="4"/>
            </w:tcBorders>
            <w:shd w:fill="006699" w:val="clear"/>
            <w:tcMar>
              <w:top w:type="dxa" w:w="60"/>
              <w:left w:type="dxa" w:w="120"/>
              <w:bottom w:type="dxa" w:w="60"/>
              <w:right w:type="dxa" w:w="120"/>
            </w:tcMar>
            <w:vAlign w:val="center"/>
          </w:tcPr>
          <w:p>
            <w:pPr>
              <w:spacing w:after="0"/>
              <w:jc w:val="left"/>
            </w:pPr>
            <w:r>
              <w:rPr>
                <w:rFonts w:ascii="Arial" w:cs="Arial" w:eastAsia="Arial" w:hAnsi="Arial"/>
                <w:b/>
                <w:bCs/>
                <w:color w:val="FFFFFF"/>
                <w:sz w:val="18"/>
                <w:szCs w:val="18"/>
              </w:rPr>
              <w:t xml:space="preserve">Citation / authority</w:t>
            </w:r>
          </w:p>
        </w:tc>
        <w:tc>
          <w:tcPr>
            <w:tcW w:type="dxa" w:w="5410"/>
            <w:tcBorders>
              <w:top w:val="single" w:color="BFBFBF" w:sz="4"/>
              <w:left w:val="single" w:color="BFBFBF" w:sz="4"/>
              <w:bottom w:val="single" w:color="BFBFBF" w:sz="4"/>
              <w:right w:val="single" w:color="BFBFBF" w:sz="4"/>
            </w:tcBorders>
            <w:shd w:fill="006699" w:val="clear"/>
            <w:tcMar>
              <w:top w:type="dxa" w:w="60"/>
              <w:left w:type="dxa" w:w="120"/>
              <w:bottom w:type="dxa" w:w="60"/>
              <w:right w:type="dxa" w:w="120"/>
            </w:tcMar>
            <w:vAlign w:val="center"/>
          </w:tcPr>
          <w:p>
            <w:pPr>
              <w:spacing w:after="0"/>
              <w:jc w:val="left"/>
            </w:pPr>
            <w:r>
              <w:rPr>
                <w:rFonts w:ascii="Arial" w:cs="Arial" w:eastAsia="Arial" w:hAnsi="Arial"/>
                <w:b/>
                <w:bCs/>
                <w:color w:val="FFFFFF"/>
                <w:sz w:val="18"/>
                <w:szCs w:val="18"/>
              </w:rPr>
              <w:t xml:space="preserve">What it is and how it is used</w:t>
            </w:r>
          </w:p>
        </w:tc>
        <w:tc>
          <w:tcPr>
            <w:tcW w:type="dxa" w:w="1600"/>
            <w:tcBorders>
              <w:top w:val="single" w:color="BFBFBF" w:sz="4"/>
              <w:left w:val="single" w:color="BFBFBF" w:sz="4"/>
              <w:bottom w:val="single" w:color="BFBFBF" w:sz="4"/>
              <w:right w:val="single" w:color="BFBFBF" w:sz="4"/>
            </w:tcBorders>
            <w:shd w:fill="006699" w:val="clear"/>
            <w:tcMar>
              <w:top w:type="dxa" w:w="60"/>
              <w:left w:type="dxa" w:w="120"/>
              <w:bottom w:type="dxa" w:w="60"/>
              <w:right w:type="dxa" w:w="120"/>
            </w:tcMar>
            <w:vAlign w:val="center"/>
          </w:tcPr>
          <w:p>
            <w:pPr>
              <w:spacing w:after="0"/>
              <w:jc w:val="center"/>
            </w:pPr>
            <w:r>
              <w:rPr>
                <w:rFonts w:ascii="Arial" w:cs="Arial" w:eastAsia="Arial" w:hAnsi="Arial"/>
                <w:b/>
                <w:bCs/>
                <w:color w:val="FFFFFF"/>
                <w:sz w:val="18"/>
                <w:szCs w:val="18"/>
              </w:rPr>
              <w:t xml:space="preserve">Slides</w:t>
            </w:r>
          </w:p>
        </w:tc>
      </w:tr>
      <w:tr>
        <w:tc>
          <w:tcPr>
            <w:tcW w:type="dxa" w:w="235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ORS 279C.800–870</w:t>
            </w:r>
          </w:p>
        </w:tc>
        <w:tc>
          <w:tcPr>
            <w:tcW w:type="dxa" w:w="541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Oregon Prevailing Wage Rate (PWR) Law — wage requirement on state public works above the $50,000 threshold.</w:t>
            </w:r>
          </w:p>
        </w:tc>
        <w:tc>
          <w:tcPr>
            <w:tcW w:type="dxa" w:w="16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2, 4, 22</w:t>
            </w:r>
          </w:p>
        </w:tc>
      </w:tr>
      <w:tr>
        <w:tc>
          <w:tcPr>
            <w:tcW w:type="dxa" w:w="235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Davis-Bacon Act</w:t>
            </w:r>
          </w:p>
        </w:tc>
        <w:tc>
          <w:tcPr>
            <w:tcW w:type="dxa" w:w="541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Federal prevailing wage on federally funded or assisted construction over $2,000.</w:t>
            </w:r>
          </w:p>
        </w:tc>
        <w:tc>
          <w:tcPr>
            <w:tcW w:type="dxa" w:w="16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2, 8, 9, 16</w:t>
            </w:r>
          </w:p>
        </w:tc>
      </w:tr>
      <w:tr>
        <w:tc>
          <w:tcPr>
            <w:tcW w:type="dxa" w:w="235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Davis-Bacon Related Acts (60+)</w:t>
            </w:r>
          </w:p>
        </w:tc>
        <w:tc>
          <w:tcPr>
            <w:tcW w:type="dxa" w:w="541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Extend Davis-Bacon coverage to federally assisted programs (e.g., CDBG, USDA-RD).</w:t>
            </w:r>
          </w:p>
        </w:tc>
        <w:tc>
          <w:tcPr>
            <w:tcW w:type="dxa" w:w="16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9</w:t>
            </w:r>
          </w:p>
        </w:tc>
      </w:tr>
      <w:tr>
        <w:tc>
          <w:tcPr>
            <w:tcW w:type="dxa" w:w="235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2024 Davis-Bacon Final Rule</w:t>
            </w:r>
          </w:p>
        </w:tc>
        <w:tc>
          <w:tcPr>
            <w:tcW w:type="dxa" w:w="541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Revised DBA regulations — majority-rule rate, 30% threshold, expanded coverage, enhanced enforcement.</w:t>
            </w:r>
          </w:p>
        </w:tc>
        <w:tc>
          <w:tcPr>
            <w:tcW w:type="dxa" w:w="16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10, 21</w:t>
            </w:r>
          </w:p>
        </w:tc>
      </w:tr>
      <w:tr>
        <w:tc>
          <w:tcPr>
            <w:tcW w:type="dxa" w:w="235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HUD Handbook 1344.1 Rev-3</w:t>
            </w:r>
          </w:p>
        </w:tc>
        <w:tc>
          <w:tcPr>
            <w:tcW w:type="dxa" w:w="541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HUD’s operational labor-standards manual for federally funded projects.</w:t>
            </w:r>
          </w:p>
        </w:tc>
        <w:tc>
          <w:tcPr>
            <w:tcW w:type="dxa" w:w="16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3, 12, 13, 22</w:t>
            </w:r>
          </w:p>
        </w:tc>
      </w:tr>
      <w:tr>
        <w:tc>
          <w:tcPr>
            <w:tcW w:type="dxa" w:w="235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CDBG (HUD Title I)</w:t>
            </w:r>
          </w:p>
        </w:tc>
        <w:tc>
          <w:tcPr>
            <w:tcW w:type="dxa" w:w="541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Davis-Bacon applies to CDBG-financed construction over $2,000.</w:t>
            </w:r>
          </w:p>
        </w:tc>
        <w:tc>
          <w:tcPr>
            <w:tcW w:type="dxa" w:w="16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2, 13, 15</w:t>
            </w:r>
          </w:p>
        </w:tc>
      </w:tr>
      <w:tr>
        <w:tc>
          <w:tcPr>
            <w:tcW w:type="dxa" w:w="235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HOME Investment Partnerships</w:t>
            </w:r>
          </w:p>
        </w:tc>
        <w:tc>
          <w:tcPr>
            <w:tcW w:type="dxa" w:w="541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HUD program; labor standards attach at 12+ units.</w:t>
            </w:r>
          </w:p>
        </w:tc>
        <w:tc>
          <w:tcPr>
            <w:tcW w:type="dxa" w:w="16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13</w:t>
            </w:r>
          </w:p>
        </w:tc>
      </w:tr>
      <w:tr>
        <w:tc>
          <w:tcPr>
            <w:tcW w:type="dxa" w:w="235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Section 108 Loan Guarantee</w:t>
            </w:r>
          </w:p>
        </w:tc>
        <w:tc>
          <w:tcPr>
            <w:tcW w:type="dxa" w:w="541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HUD-assisted financing subject to federal labor standards.</w:t>
            </w:r>
          </w:p>
        </w:tc>
        <w:tc>
          <w:tcPr>
            <w:tcW w:type="dxa" w:w="16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13</w:t>
            </w:r>
          </w:p>
        </w:tc>
      </w:tr>
      <w:tr>
        <w:tc>
          <w:tcPr>
            <w:tcW w:type="dxa" w:w="235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Form WH-347</w:t>
            </w:r>
          </w:p>
        </w:tc>
        <w:tc>
          <w:tcPr>
            <w:tcW w:type="dxa" w:w="541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Federal weekly certified payroll form.</w:t>
            </w:r>
          </w:p>
        </w:tc>
        <w:tc>
          <w:tcPr>
            <w:tcW w:type="dxa" w:w="16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7, 9, 13, 15, 16</w:t>
            </w:r>
          </w:p>
        </w:tc>
      </w:tr>
      <w:tr>
        <w:tc>
          <w:tcPr>
            <w:tcW w:type="dxa" w:w="235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BOLI Addendum (Supplemental Statement)</w:t>
            </w:r>
          </w:p>
        </w:tc>
        <w:tc>
          <w:tcPr>
            <w:tcW w:type="dxa" w:w="541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Oregon certified-payroll supplement filed alongside the WH-347 (labeled “Oregon WH-38” on the slide).</w:t>
            </w:r>
          </w:p>
        </w:tc>
        <w:tc>
          <w:tcPr>
            <w:tcW w:type="dxa" w:w="16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7, 15, 16</w:t>
            </w:r>
          </w:p>
        </w:tc>
      </w:tr>
      <w:tr>
        <w:tc>
          <w:tcPr>
            <w:tcW w:type="dxa" w:w="235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HUD-11 (Record of Employee Interview)</w:t>
            </w:r>
          </w:p>
        </w:tc>
        <w:tc>
          <w:tcPr>
            <w:tcW w:type="dxa" w:w="541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On-site worker interview form referenced for HUD-funded projects.</w:t>
            </w:r>
          </w:p>
        </w:tc>
        <w:tc>
          <w:tcPr>
            <w:tcW w:type="dxa" w:w="16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13</w:t>
            </w:r>
          </w:p>
        </w:tc>
      </w:tr>
      <w:tr>
        <w:tc>
          <w:tcPr>
            <w:tcW w:type="dxa" w:w="235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SAM.gov wage determinations</w:t>
            </w:r>
          </w:p>
        </w:tc>
        <w:tc>
          <w:tcPr>
            <w:tcW w:type="dxa" w:w="541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Source for federal wage determinations (sam.gov/content/wage-determinations).</w:t>
            </w:r>
          </w:p>
        </w:tc>
        <w:tc>
          <w:tcPr>
            <w:tcW w:type="dxa" w:w="16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11, 22</w:t>
            </w:r>
          </w:p>
        </w:tc>
      </w:tr>
    </w:tbl>
    <w:p>
      <w:pPr>
        <w:pStyle w:val="Heading1"/>
        <w:spacing w:after="120" w:before="240"/>
      </w:pPr>
      <w:r>
        <w:rPr>
          <w:rFonts w:ascii="Arial" w:cs="Arial" w:eastAsia="Arial" w:hAnsi="Arial"/>
          <w:b/>
          <w:bCs/>
          <w:color w:val="006699"/>
          <w:sz w:val="30"/>
          <w:szCs w:val="30"/>
        </w:rPr>
        <w:t xml:space="preserve">Session 2 — Certified Payroll &amp; Documentation</w:t>
      </w:r>
    </w:p>
    <w:p>
      <w:pPr>
        <w:spacing w:after="80"/>
      </w:pPr>
      <w:r>
        <w:rPr>
          <w:rFonts w:ascii="Arial" w:cs="Arial" w:eastAsia="Arial" w:hAnsi="Arial"/>
          <w:color w:val="595959"/>
          <w:sz w:val="18"/>
          <w:szCs w:val="18"/>
        </w:rPr>
        <w:t xml:space="preserve">Scope: the WH-347 field by field, the BOLI Addendum and higher-wage rule, deductions, fringe benefits, overtime, common errors, and QA.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50"/>
        <w:gridCol w:w="5410"/>
        <w:gridCol w:w="1600"/>
      </w:tblGrid>
      <w:tr>
        <w:trPr>
          <w:tblHeader/>
        </w:trPr>
        <w:tc>
          <w:tcPr>
            <w:tcW w:type="dxa" w:w="2350"/>
            <w:tcBorders>
              <w:top w:val="single" w:color="BFBFBF" w:sz="4"/>
              <w:left w:val="single" w:color="BFBFBF" w:sz="4"/>
              <w:bottom w:val="single" w:color="BFBFBF" w:sz="4"/>
              <w:right w:val="single" w:color="BFBFBF" w:sz="4"/>
            </w:tcBorders>
            <w:shd w:fill="006699" w:val="clear"/>
            <w:tcMar>
              <w:top w:type="dxa" w:w="60"/>
              <w:left w:type="dxa" w:w="120"/>
              <w:bottom w:type="dxa" w:w="60"/>
              <w:right w:type="dxa" w:w="120"/>
            </w:tcMar>
            <w:vAlign w:val="center"/>
          </w:tcPr>
          <w:p>
            <w:pPr>
              <w:spacing w:after="0"/>
              <w:jc w:val="left"/>
            </w:pPr>
            <w:r>
              <w:rPr>
                <w:rFonts w:ascii="Arial" w:cs="Arial" w:eastAsia="Arial" w:hAnsi="Arial"/>
                <w:b/>
                <w:bCs/>
                <w:color w:val="FFFFFF"/>
                <w:sz w:val="18"/>
                <w:szCs w:val="18"/>
              </w:rPr>
              <w:t xml:space="preserve">Citation / authority</w:t>
            </w:r>
          </w:p>
        </w:tc>
        <w:tc>
          <w:tcPr>
            <w:tcW w:type="dxa" w:w="5410"/>
            <w:tcBorders>
              <w:top w:val="single" w:color="BFBFBF" w:sz="4"/>
              <w:left w:val="single" w:color="BFBFBF" w:sz="4"/>
              <w:bottom w:val="single" w:color="BFBFBF" w:sz="4"/>
              <w:right w:val="single" w:color="BFBFBF" w:sz="4"/>
            </w:tcBorders>
            <w:shd w:fill="006699" w:val="clear"/>
            <w:tcMar>
              <w:top w:type="dxa" w:w="60"/>
              <w:left w:type="dxa" w:w="120"/>
              <w:bottom w:type="dxa" w:w="60"/>
              <w:right w:type="dxa" w:w="120"/>
            </w:tcMar>
            <w:vAlign w:val="center"/>
          </w:tcPr>
          <w:p>
            <w:pPr>
              <w:spacing w:after="0"/>
              <w:jc w:val="left"/>
            </w:pPr>
            <w:r>
              <w:rPr>
                <w:rFonts w:ascii="Arial" w:cs="Arial" w:eastAsia="Arial" w:hAnsi="Arial"/>
                <w:b/>
                <w:bCs/>
                <w:color w:val="FFFFFF"/>
                <w:sz w:val="18"/>
                <w:szCs w:val="18"/>
              </w:rPr>
              <w:t xml:space="preserve">What it is and how it is used</w:t>
            </w:r>
          </w:p>
        </w:tc>
        <w:tc>
          <w:tcPr>
            <w:tcW w:type="dxa" w:w="1600"/>
            <w:tcBorders>
              <w:top w:val="single" w:color="BFBFBF" w:sz="4"/>
              <w:left w:val="single" w:color="BFBFBF" w:sz="4"/>
              <w:bottom w:val="single" w:color="BFBFBF" w:sz="4"/>
              <w:right w:val="single" w:color="BFBFBF" w:sz="4"/>
            </w:tcBorders>
            <w:shd w:fill="006699" w:val="clear"/>
            <w:tcMar>
              <w:top w:type="dxa" w:w="60"/>
              <w:left w:type="dxa" w:w="120"/>
              <w:bottom w:type="dxa" w:w="60"/>
              <w:right w:type="dxa" w:w="120"/>
            </w:tcMar>
            <w:vAlign w:val="center"/>
          </w:tcPr>
          <w:p>
            <w:pPr>
              <w:spacing w:after="0"/>
              <w:jc w:val="center"/>
            </w:pPr>
            <w:r>
              <w:rPr>
                <w:rFonts w:ascii="Arial" w:cs="Arial" w:eastAsia="Arial" w:hAnsi="Arial"/>
                <w:b/>
                <w:bCs/>
                <w:color w:val="FFFFFF"/>
                <w:sz w:val="18"/>
                <w:szCs w:val="18"/>
              </w:rPr>
              <w:t xml:space="preserve">Slides</w:t>
            </w:r>
          </w:p>
        </w:tc>
      </w:tr>
      <w:tr>
        <w:tc>
          <w:tcPr>
            <w:tcW w:type="dxa" w:w="235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Davis-Bacon Act — 40 U.S.C. §3141</w:t>
            </w:r>
          </w:p>
        </w:tc>
        <w:tc>
          <w:tcPr>
            <w:tcW w:type="dxa" w:w="541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Federal prevailing-wage statute; the statutory basis for certified payroll.</w:t>
            </w:r>
          </w:p>
        </w:tc>
        <w:tc>
          <w:tcPr>
            <w:tcW w:type="dxa" w:w="16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4</w:t>
            </w:r>
          </w:p>
        </w:tc>
      </w:tr>
      <w:tr>
        <w:tc>
          <w:tcPr>
            <w:tcW w:type="dxa" w:w="235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29 CFR 5.5(a)(3)(ii)</w:t>
            </w:r>
          </w:p>
        </w:tc>
        <w:tc>
          <w:tcPr>
            <w:tcW w:type="dxa" w:w="541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Requires weekly submission of certified payroll on covered contracts.</w:t>
            </w:r>
          </w:p>
        </w:tc>
        <w:tc>
          <w:tcPr>
            <w:tcW w:type="dxa" w:w="16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4</w:t>
            </w:r>
          </w:p>
        </w:tc>
      </w:tr>
      <w:tr>
        <w:tc>
          <w:tcPr>
            <w:tcW w:type="dxa" w:w="235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18 U.S.C. §1001</w:t>
            </w:r>
          </w:p>
        </w:tc>
        <w:tc>
          <w:tcPr>
            <w:tcW w:type="dxa" w:w="541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Criminal liability for false certification of the Statement of Compliance (up to 5 years).</w:t>
            </w:r>
          </w:p>
        </w:tc>
        <w:tc>
          <w:tcPr>
            <w:tcW w:type="dxa" w:w="16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10</w:t>
            </w:r>
          </w:p>
        </w:tc>
      </w:tr>
      <w:tr>
        <w:tc>
          <w:tcPr>
            <w:tcW w:type="dxa" w:w="235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ORS 279C.540</w:t>
            </w:r>
          </w:p>
        </w:tc>
        <w:tc>
          <w:tcPr>
            <w:tcW w:type="dxa" w:w="541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Oregon overtime on public works — over 8 hours/day OR over 40 hours/week, whichever yields more.</w:t>
            </w:r>
          </w:p>
        </w:tc>
        <w:tc>
          <w:tcPr>
            <w:tcW w:type="dxa" w:w="16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20</w:t>
            </w:r>
          </w:p>
        </w:tc>
      </w:tr>
      <w:tr>
        <w:tc>
          <w:tcPr>
            <w:tcW w:type="dxa" w:w="235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ORS 279C.845</w:t>
            </w:r>
          </w:p>
        </w:tc>
        <w:tc>
          <w:tcPr>
            <w:tcW w:type="dxa" w:w="541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Oregon certified-payroll filing and recordkeeping obligation.</w:t>
            </w:r>
          </w:p>
        </w:tc>
        <w:tc>
          <w:tcPr>
            <w:tcW w:type="dxa" w:w="16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4</w:t>
            </w:r>
          </w:p>
        </w:tc>
      </w:tr>
      <w:tr>
        <w:tc>
          <w:tcPr>
            <w:tcW w:type="dxa" w:w="235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OAR 839-025-0040</w:t>
            </w:r>
          </w:p>
        </w:tc>
        <w:tc>
          <w:tcPr>
            <w:tcW w:type="dxa" w:w="541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BOLI rule governing certified payroll / records.</w:t>
            </w:r>
          </w:p>
        </w:tc>
        <w:tc>
          <w:tcPr>
            <w:tcW w:type="dxa" w:w="16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4</w:t>
            </w:r>
          </w:p>
        </w:tc>
      </w:tr>
      <w:tr>
        <w:tc>
          <w:tcPr>
            <w:tcW w:type="dxa" w:w="235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2024 Davis-Bacon Final Rule (and injunction)</w:t>
            </w:r>
          </w:p>
        </w:tc>
        <w:tc>
          <w:tcPr>
            <w:tcW w:type="dxa" w:w="541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Majority-rule method and related changes; certain provisions currently enjoined.</w:t>
            </w:r>
          </w:p>
        </w:tc>
        <w:tc>
          <w:tcPr>
            <w:tcW w:type="dxa" w:w="16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5, 6, 7, 33</w:t>
            </w:r>
          </w:p>
        </w:tc>
      </w:tr>
      <w:tr>
        <w:tc>
          <w:tcPr>
            <w:tcW w:type="dxa" w:w="235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Form WH-347 (rev. 01/2020)</w:t>
            </w:r>
          </w:p>
        </w:tc>
        <w:tc>
          <w:tcPr>
            <w:tcW w:type="dxa" w:w="541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Current federal weekly certified payroll form.</w:t>
            </w:r>
          </w:p>
        </w:tc>
        <w:tc>
          <w:tcPr>
            <w:tcW w:type="dxa" w:w="16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4, 9, 10, 32, 33</w:t>
            </w:r>
          </w:p>
        </w:tc>
      </w:tr>
      <w:tr>
        <w:tc>
          <w:tcPr>
            <w:tcW w:type="dxa" w:w="235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BOLI Addendum</w:t>
            </w:r>
          </w:p>
        </w:tc>
        <w:tc>
          <w:tcPr>
            <w:tcW w:type="dxa" w:w="541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Oregon supplement filed with the WH-347 on dual-jurisdiction projects.</w:t>
            </w:r>
          </w:p>
        </w:tc>
        <w:tc>
          <w:tcPr>
            <w:tcW w:type="dxa" w:w="16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4, 12, 25, 33</w:t>
            </w:r>
          </w:p>
        </w:tc>
      </w:tr>
      <w:tr>
        <w:tc>
          <w:tcPr>
            <w:tcW w:type="dxa" w:w="235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DOL e-SCNP</w:t>
            </w:r>
          </w:p>
        </w:tc>
        <w:tc>
          <w:tcPr>
            <w:tcW w:type="dxa" w:w="541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Electronic certified-payroll submission system (resource).</w:t>
            </w:r>
          </w:p>
        </w:tc>
        <w:tc>
          <w:tcPr>
            <w:tcW w:type="dxa" w:w="16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25</w:t>
            </w:r>
          </w:p>
        </w:tc>
      </w:tr>
      <w:tr>
        <w:tc>
          <w:tcPr>
            <w:tcW w:type="dxa" w:w="235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SAM.gov wage determinations</w:t>
            </w:r>
          </w:p>
        </w:tc>
        <w:tc>
          <w:tcPr>
            <w:tcW w:type="dxa" w:w="541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Source for the locked-in wage determination; re-check after change orders.</w:t>
            </w:r>
          </w:p>
        </w:tc>
        <w:tc>
          <w:tcPr>
            <w:tcW w:type="dxa" w:w="16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22, 23, 33</w:t>
            </w:r>
          </w:p>
        </w:tc>
      </w:tr>
    </w:tbl>
    <w:p>
      <w:r>
        <w:br w:type="page"/>
      </w:r>
    </w:p>
    <w:p>
      <w:pPr>
        <w:pStyle w:val="Heading1"/>
        <w:spacing w:after="120" w:before="240"/>
      </w:pPr>
      <w:r>
        <w:rPr>
          <w:rFonts w:ascii="Arial" w:cs="Arial" w:eastAsia="Arial" w:hAnsi="Arial"/>
          <w:b/>
          <w:bCs/>
          <w:color w:val="006699"/>
          <w:sz w:val="30"/>
          <w:szCs w:val="30"/>
        </w:rPr>
        <w:t xml:space="preserve">Session 3 — Worker Interviews &amp; Record Keeping</w:t>
      </w:r>
    </w:p>
    <w:p>
      <w:pPr>
        <w:spacing w:after="80"/>
      </w:pPr>
      <w:r>
        <w:rPr>
          <w:rFonts w:ascii="Arial" w:cs="Arial" w:eastAsia="Arial" w:hAnsi="Arial"/>
          <w:color w:val="595959"/>
          <w:sz w:val="18"/>
          <w:szCs w:val="18"/>
        </w:rPr>
        <w:t xml:space="preserve">Scope: federal and Oregon interview authority and forms, interview procedure, language access, documentation, retention, and audit findings.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50"/>
        <w:gridCol w:w="5410"/>
        <w:gridCol w:w="1600"/>
      </w:tblGrid>
      <w:tr>
        <w:trPr>
          <w:tblHeader/>
        </w:trPr>
        <w:tc>
          <w:tcPr>
            <w:tcW w:type="dxa" w:w="2350"/>
            <w:tcBorders>
              <w:top w:val="single" w:color="BFBFBF" w:sz="4"/>
              <w:left w:val="single" w:color="BFBFBF" w:sz="4"/>
              <w:bottom w:val="single" w:color="BFBFBF" w:sz="4"/>
              <w:right w:val="single" w:color="BFBFBF" w:sz="4"/>
            </w:tcBorders>
            <w:shd w:fill="006699" w:val="clear"/>
            <w:tcMar>
              <w:top w:type="dxa" w:w="60"/>
              <w:left w:type="dxa" w:w="120"/>
              <w:bottom w:type="dxa" w:w="60"/>
              <w:right w:type="dxa" w:w="120"/>
            </w:tcMar>
            <w:vAlign w:val="center"/>
          </w:tcPr>
          <w:p>
            <w:pPr>
              <w:spacing w:after="0"/>
              <w:jc w:val="left"/>
            </w:pPr>
            <w:r>
              <w:rPr>
                <w:rFonts w:ascii="Arial" w:cs="Arial" w:eastAsia="Arial" w:hAnsi="Arial"/>
                <w:b/>
                <w:bCs/>
                <w:color w:val="FFFFFF"/>
                <w:sz w:val="18"/>
                <w:szCs w:val="18"/>
              </w:rPr>
              <w:t xml:space="preserve">Citation / authority</w:t>
            </w:r>
          </w:p>
        </w:tc>
        <w:tc>
          <w:tcPr>
            <w:tcW w:type="dxa" w:w="5410"/>
            <w:tcBorders>
              <w:top w:val="single" w:color="BFBFBF" w:sz="4"/>
              <w:left w:val="single" w:color="BFBFBF" w:sz="4"/>
              <w:bottom w:val="single" w:color="BFBFBF" w:sz="4"/>
              <w:right w:val="single" w:color="BFBFBF" w:sz="4"/>
            </w:tcBorders>
            <w:shd w:fill="006699" w:val="clear"/>
            <w:tcMar>
              <w:top w:type="dxa" w:w="60"/>
              <w:left w:type="dxa" w:w="120"/>
              <w:bottom w:type="dxa" w:w="60"/>
              <w:right w:type="dxa" w:w="120"/>
            </w:tcMar>
            <w:vAlign w:val="center"/>
          </w:tcPr>
          <w:p>
            <w:pPr>
              <w:spacing w:after="0"/>
              <w:jc w:val="left"/>
            </w:pPr>
            <w:r>
              <w:rPr>
                <w:rFonts w:ascii="Arial" w:cs="Arial" w:eastAsia="Arial" w:hAnsi="Arial"/>
                <w:b/>
                <w:bCs/>
                <w:color w:val="FFFFFF"/>
                <w:sz w:val="18"/>
                <w:szCs w:val="18"/>
              </w:rPr>
              <w:t xml:space="preserve">What it is and how it is used</w:t>
            </w:r>
          </w:p>
        </w:tc>
        <w:tc>
          <w:tcPr>
            <w:tcW w:type="dxa" w:w="1600"/>
            <w:tcBorders>
              <w:top w:val="single" w:color="BFBFBF" w:sz="4"/>
              <w:left w:val="single" w:color="BFBFBF" w:sz="4"/>
              <w:bottom w:val="single" w:color="BFBFBF" w:sz="4"/>
              <w:right w:val="single" w:color="BFBFBF" w:sz="4"/>
            </w:tcBorders>
            <w:shd w:fill="006699" w:val="clear"/>
            <w:tcMar>
              <w:top w:type="dxa" w:w="60"/>
              <w:left w:type="dxa" w:w="120"/>
              <w:bottom w:type="dxa" w:w="60"/>
              <w:right w:type="dxa" w:w="120"/>
            </w:tcMar>
            <w:vAlign w:val="center"/>
          </w:tcPr>
          <w:p>
            <w:pPr>
              <w:spacing w:after="0"/>
              <w:jc w:val="center"/>
            </w:pPr>
            <w:r>
              <w:rPr>
                <w:rFonts w:ascii="Arial" w:cs="Arial" w:eastAsia="Arial" w:hAnsi="Arial"/>
                <w:b/>
                <w:bCs/>
                <w:color w:val="FFFFFF"/>
                <w:sz w:val="18"/>
                <w:szCs w:val="18"/>
              </w:rPr>
              <w:t xml:space="preserve">Slides</w:t>
            </w:r>
          </w:p>
        </w:tc>
      </w:tr>
      <w:tr>
        <w:tc>
          <w:tcPr>
            <w:tcW w:type="dxa" w:w="235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Davis-Bacon Act — 40 USC 3141 et seq.</w:t>
            </w:r>
          </w:p>
        </w:tc>
        <w:tc>
          <w:tcPr>
            <w:tcW w:type="dxa" w:w="541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Federal prevailing-wage statute underlying interview authority.</w:t>
            </w:r>
          </w:p>
        </w:tc>
        <w:tc>
          <w:tcPr>
            <w:tcW w:type="dxa" w:w="16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6</w:t>
            </w:r>
          </w:p>
        </w:tc>
      </w:tr>
      <w:tr>
        <w:tc>
          <w:tcPr>
            <w:tcW w:type="dxa" w:w="235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29 CFR Parts 1, 3, and 5</w:t>
            </w:r>
          </w:p>
        </w:tc>
        <w:tc>
          <w:tcPr>
            <w:tcW w:type="dxa" w:w="541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Davis-Bacon implementing regulations; Part 5 prescribes investigation and interview procedures.</w:t>
            </w:r>
          </w:p>
        </w:tc>
        <w:tc>
          <w:tcPr>
            <w:tcW w:type="dxa" w:w="16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5, 6</w:t>
            </w:r>
          </w:p>
        </w:tc>
      </w:tr>
      <w:tr>
        <w:tc>
          <w:tcPr>
            <w:tcW w:type="dxa" w:w="235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29 CFR 5.6</w:t>
            </w:r>
          </w:p>
        </w:tc>
        <w:tc>
          <w:tcPr>
            <w:tcW w:type="dxa" w:w="541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Enforcement and records provisions; basis for the 3-year interview-form retention.</w:t>
            </w:r>
          </w:p>
        </w:tc>
        <w:tc>
          <w:tcPr>
            <w:tcW w:type="dxa" w:w="16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25</w:t>
            </w:r>
          </w:p>
        </w:tc>
      </w:tr>
      <w:tr>
        <w:tc>
          <w:tcPr>
            <w:tcW w:type="dxa" w:w="235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2 CFR 200.334</w:t>
            </w:r>
          </w:p>
        </w:tc>
        <w:tc>
          <w:tcPr>
            <w:tcW w:type="dxa" w:w="541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Uniform Guidance grantee record retention — 3 years after the final expenditure report.</w:t>
            </w:r>
          </w:p>
        </w:tc>
        <w:tc>
          <w:tcPr>
            <w:tcW w:type="dxa" w:w="16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25</w:t>
            </w:r>
          </w:p>
        </w:tc>
      </w:tr>
      <w:tr>
        <w:tc>
          <w:tcPr>
            <w:tcW w:type="dxa" w:w="235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HUD Handbook 1344.1 Rev-3</w:t>
            </w:r>
          </w:p>
        </w:tc>
        <w:tc>
          <w:tcPr>
            <w:tcW w:type="dxa" w:w="541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HUD’s operational labor-standards manual; primary reference for CDBG/HOME/Section 108.</w:t>
            </w:r>
          </w:p>
        </w:tc>
        <w:tc>
          <w:tcPr>
            <w:tcW w:type="dxa" w:w="16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2, 6</w:t>
            </w:r>
          </w:p>
        </w:tc>
      </w:tr>
      <w:tr>
        <w:tc>
          <w:tcPr>
            <w:tcW w:type="dxa" w:w="235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Form WH-38</w:t>
            </w:r>
          </w:p>
        </w:tc>
        <w:tc>
          <w:tcPr>
            <w:tcW w:type="dxa" w:w="541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DOL on-site worker interview form.</w:t>
            </w:r>
          </w:p>
        </w:tc>
        <w:tc>
          <w:tcPr>
            <w:tcW w:type="dxa" w:w="16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3, 7, 12, 13, 22</w:t>
            </w:r>
          </w:p>
        </w:tc>
      </w:tr>
      <w:tr>
        <w:tc>
          <w:tcPr>
            <w:tcW w:type="dxa" w:w="235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BOLI on-site interview record</w:t>
            </w:r>
          </w:p>
        </w:tc>
        <w:tc>
          <w:tcPr>
            <w:tcW w:type="dxa" w:w="541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Oregon interview record; same core fields as WH-38 plus three Oregon-specific items.</w:t>
            </w:r>
          </w:p>
        </w:tc>
        <w:tc>
          <w:tcPr>
            <w:tcW w:type="dxa" w:w="16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12, 13, 22</w:t>
            </w:r>
          </w:p>
        </w:tc>
      </w:tr>
      <w:tr>
        <w:tc>
          <w:tcPr>
            <w:tcW w:type="dxa" w:w="235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Form WH-118</w:t>
            </w:r>
          </w:p>
        </w:tc>
        <w:tc>
          <w:tcPr>
            <w:tcW w:type="dxa" w:w="541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Oregon public-works project notification filed with BOLI before work begins.</w:t>
            </w:r>
          </w:p>
        </w:tc>
        <w:tc>
          <w:tcPr>
            <w:tcW w:type="dxa" w:w="16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12</w:t>
            </w:r>
          </w:p>
        </w:tc>
      </w:tr>
      <w:tr>
        <w:tc>
          <w:tcPr>
            <w:tcW w:type="dxa" w:w="235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ORS 279C.800–870</w:t>
            </w:r>
          </w:p>
        </w:tc>
        <w:tc>
          <w:tcPr>
            <w:tcW w:type="dxa" w:w="541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Oregon Prevailing Wage Rate Law.</w:t>
            </w:r>
          </w:p>
        </w:tc>
        <w:tc>
          <w:tcPr>
            <w:tcW w:type="dxa" w:w="16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11</w:t>
            </w:r>
          </w:p>
        </w:tc>
      </w:tr>
      <w:tr>
        <w:tc>
          <w:tcPr>
            <w:tcW w:type="dxa" w:w="235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ORS 279C (anti-retaliation)</w:t>
            </w:r>
          </w:p>
        </w:tc>
        <w:tc>
          <w:tcPr>
            <w:tcW w:type="dxa" w:w="541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Prohibits retaliation against a worker for participating in a compliance interview.</w:t>
            </w:r>
          </w:p>
        </w:tc>
        <w:tc>
          <w:tcPr>
            <w:tcW w:type="dxa" w:w="16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18</w:t>
            </w:r>
          </w:p>
        </w:tc>
      </w:tr>
      <w:tr>
        <w:tc>
          <w:tcPr>
            <w:tcW w:type="dxa" w:w="235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ORS 279A</w:t>
            </w:r>
          </w:p>
        </w:tc>
        <w:tc>
          <w:tcPr>
            <w:tcW w:type="dxa" w:w="541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Oregon Public Contracting Code; reinforces language-access expectations.</w:t>
            </w:r>
          </w:p>
        </w:tc>
        <w:tc>
          <w:tcPr>
            <w:tcW w:type="dxa" w:w="16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20</w:t>
            </w:r>
          </w:p>
        </w:tc>
      </w:tr>
      <w:tr>
        <w:tc>
          <w:tcPr>
            <w:tcW w:type="dxa" w:w="235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OAR Chapter 839, Division 25</w:t>
            </w:r>
          </w:p>
        </w:tc>
        <w:tc>
          <w:tcPr>
            <w:tcW w:type="dxa" w:w="541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BOLI’s implementing rules — classification, fringe, certified payroll, and on-site interviews.</w:t>
            </w:r>
          </w:p>
        </w:tc>
        <w:tc>
          <w:tcPr>
            <w:tcW w:type="dxa" w:w="16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5, 11</w:t>
            </w:r>
          </w:p>
        </w:tc>
      </w:tr>
      <w:tr>
        <w:tc>
          <w:tcPr>
            <w:tcW w:type="dxa" w:w="235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Title VI — Civil Rights Act of 1964</w:t>
            </w:r>
          </w:p>
        </w:tc>
        <w:tc>
          <w:tcPr>
            <w:tcW w:type="dxa" w:w="541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Requires meaningful access for limited-English-proficient (LEP) persons.</w:t>
            </w:r>
          </w:p>
        </w:tc>
        <w:tc>
          <w:tcPr>
            <w:tcW w:type="dxa" w:w="16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20</w:t>
            </w:r>
          </w:p>
        </w:tc>
      </w:tr>
      <w:tr>
        <w:tc>
          <w:tcPr>
            <w:tcW w:type="dxa" w:w="235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HUD LEP Guidance</w:t>
            </w:r>
          </w:p>
        </w:tc>
        <w:tc>
          <w:tcPr>
            <w:tcW w:type="dxa" w:w="541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Extends meaningful-access requirements to labor standards interviews on HUD projects.</w:t>
            </w:r>
          </w:p>
        </w:tc>
        <w:tc>
          <w:tcPr>
            <w:tcW w:type="dxa" w:w="16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20</w:t>
            </w:r>
          </w:p>
        </w:tc>
      </w:tr>
      <w:tr>
        <w:tc>
          <w:tcPr>
            <w:tcW w:type="dxa" w:w="235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State Apprenticeship &amp; Training Council</w:t>
            </w:r>
          </w:p>
        </w:tc>
        <w:tc>
          <w:tcPr>
            <w:tcW w:type="dxa" w:w="541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Oregon authority for apprenticeship registration; unregistered apprentices owed journey-level rate.</w:t>
            </w:r>
          </w:p>
        </w:tc>
        <w:tc>
          <w:tcPr>
            <w:tcW w:type="dxa" w:w="16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12</w:t>
            </w:r>
          </w:p>
        </w:tc>
      </w:tr>
      <w:tr>
        <w:tc>
          <w:tcPr>
            <w:tcW w:type="dxa" w:w="235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False Claims Act</w:t>
            </w:r>
          </w:p>
        </w:tc>
        <w:tc>
          <w:tcPr>
            <w:tcW w:type="dxa" w:w="541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Civil look-back period informing the 6-year defensive retention standard.</w:t>
            </w:r>
          </w:p>
        </w:tc>
        <w:tc>
          <w:tcPr>
            <w:tcW w:type="dxa" w:w="16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25</w:t>
            </w:r>
          </w:p>
        </w:tc>
      </w:tr>
    </w:tbl>
    <w:p>
      <w:pPr>
        <w:pBdr>
          <w:left w:val="single" w:sz="18" w:space="6"/>
        </w:pBdr>
        <w:shd w:fill="FBEFC9" w:val="clear"/>
        <w:spacing w:after="80" w:before="80"/>
        <w:ind w:left="120" w:right="120"/>
      </w:pPr>
      <w:r>
        <w:rPr>
          <w:rFonts w:ascii="Arial" w:cs="Arial" w:eastAsia="Arial" w:hAnsi="Arial"/>
          <w:b/>
          <w:bCs/>
          <w:sz w:val="18"/>
          <w:szCs w:val="18"/>
        </w:rPr>
        <w:t xml:space="preserve">Form-number note: </w:t>
      </w:r>
      <w:r>
        <w:rPr>
          <w:rFonts w:ascii="Arial" w:cs="Arial" w:eastAsia="Arial" w:hAnsi="Arial"/>
          <w:sz w:val="18"/>
          <w:szCs w:val="18"/>
        </w:rPr>
        <w:t xml:space="preserve">the decks use “WH-38” two ways — Session 1 labels it an Oregon certified-payroll supplement, while Session 3 uses it as the DOL on-site interview form. Confirm the intended form numbers (WH-38, HUD-11, and the BOLI Addendum / notice forms) against current DOL, HUD, and BOLI sources before distribution.</w:t>
      </w:r>
    </w:p>
    <w:p>
      <w:r>
        <w:br w:type="page"/>
      </w:r>
    </w:p>
    <w:p>
      <w:pPr>
        <w:pStyle w:val="Heading1"/>
        <w:spacing w:after="120" w:before="240"/>
      </w:pPr>
      <w:r>
        <w:rPr>
          <w:rFonts w:ascii="Arial" w:cs="Arial" w:eastAsia="Arial" w:hAnsi="Arial"/>
          <w:b/>
          <w:bCs/>
          <w:color w:val="006699"/>
          <w:sz w:val="30"/>
          <w:szCs w:val="30"/>
        </w:rPr>
        <w:t xml:space="preserve">Session 4 — Compliance &amp; Advanced Topics</w:t>
      </w:r>
    </w:p>
    <w:p>
      <w:pPr>
        <w:spacing w:after="80"/>
      </w:pPr>
      <w:r>
        <w:rPr>
          <w:rFonts w:ascii="Arial" w:cs="Arial" w:eastAsia="Arial" w:hAnsi="Arial"/>
          <w:color w:val="595959"/>
          <w:sz w:val="18"/>
          <w:szCs w:val="18"/>
        </w:rPr>
        <w:t xml:space="preserve">Scope: violations and enforcement, back-wage calculation, multi-contractor oversight, mixed-funding compliance (CDBG / ARPA-SLFRF / state), and recent updates.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50"/>
        <w:gridCol w:w="5410"/>
        <w:gridCol w:w="1600"/>
      </w:tblGrid>
      <w:tr>
        <w:trPr>
          <w:tblHeader/>
        </w:trPr>
        <w:tc>
          <w:tcPr>
            <w:tcW w:type="dxa" w:w="2350"/>
            <w:tcBorders>
              <w:top w:val="single" w:color="BFBFBF" w:sz="4"/>
              <w:left w:val="single" w:color="BFBFBF" w:sz="4"/>
              <w:bottom w:val="single" w:color="BFBFBF" w:sz="4"/>
              <w:right w:val="single" w:color="BFBFBF" w:sz="4"/>
            </w:tcBorders>
            <w:shd w:fill="006699" w:val="clear"/>
            <w:tcMar>
              <w:top w:type="dxa" w:w="60"/>
              <w:left w:type="dxa" w:w="120"/>
              <w:bottom w:type="dxa" w:w="60"/>
              <w:right w:type="dxa" w:w="120"/>
            </w:tcMar>
            <w:vAlign w:val="center"/>
          </w:tcPr>
          <w:p>
            <w:pPr>
              <w:spacing w:after="0"/>
              <w:jc w:val="left"/>
            </w:pPr>
            <w:r>
              <w:rPr>
                <w:rFonts w:ascii="Arial" w:cs="Arial" w:eastAsia="Arial" w:hAnsi="Arial"/>
                <w:b/>
                <w:bCs/>
                <w:color w:val="FFFFFF"/>
                <w:sz w:val="18"/>
                <w:szCs w:val="18"/>
              </w:rPr>
              <w:t xml:space="preserve">Citation / authority</w:t>
            </w:r>
          </w:p>
        </w:tc>
        <w:tc>
          <w:tcPr>
            <w:tcW w:type="dxa" w:w="5410"/>
            <w:tcBorders>
              <w:top w:val="single" w:color="BFBFBF" w:sz="4"/>
              <w:left w:val="single" w:color="BFBFBF" w:sz="4"/>
              <w:bottom w:val="single" w:color="BFBFBF" w:sz="4"/>
              <w:right w:val="single" w:color="BFBFBF" w:sz="4"/>
            </w:tcBorders>
            <w:shd w:fill="006699" w:val="clear"/>
            <w:tcMar>
              <w:top w:type="dxa" w:w="60"/>
              <w:left w:type="dxa" w:w="120"/>
              <w:bottom w:type="dxa" w:w="60"/>
              <w:right w:type="dxa" w:w="120"/>
            </w:tcMar>
            <w:vAlign w:val="center"/>
          </w:tcPr>
          <w:p>
            <w:pPr>
              <w:spacing w:after="0"/>
              <w:jc w:val="left"/>
            </w:pPr>
            <w:r>
              <w:rPr>
                <w:rFonts w:ascii="Arial" w:cs="Arial" w:eastAsia="Arial" w:hAnsi="Arial"/>
                <w:b/>
                <w:bCs/>
                <w:color w:val="FFFFFF"/>
                <w:sz w:val="18"/>
                <w:szCs w:val="18"/>
              </w:rPr>
              <w:t xml:space="preserve">What it is and how it is used</w:t>
            </w:r>
          </w:p>
        </w:tc>
        <w:tc>
          <w:tcPr>
            <w:tcW w:type="dxa" w:w="1600"/>
            <w:tcBorders>
              <w:top w:val="single" w:color="BFBFBF" w:sz="4"/>
              <w:left w:val="single" w:color="BFBFBF" w:sz="4"/>
              <w:bottom w:val="single" w:color="BFBFBF" w:sz="4"/>
              <w:right w:val="single" w:color="BFBFBF" w:sz="4"/>
            </w:tcBorders>
            <w:shd w:fill="006699" w:val="clear"/>
            <w:tcMar>
              <w:top w:type="dxa" w:w="60"/>
              <w:left w:type="dxa" w:w="120"/>
              <w:bottom w:type="dxa" w:w="60"/>
              <w:right w:type="dxa" w:w="120"/>
            </w:tcMar>
            <w:vAlign w:val="center"/>
          </w:tcPr>
          <w:p>
            <w:pPr>
              <w:spacing w:after="0"/>
              <w:jc w:val="center"/>
            </w:pPr>
            <w:r>
              <w:rPr>
                <w:rFonts w:ascii="Arial" w:cs="Arial" w:eastAsia="Arial" w:hAnsi="Arial"/>
                <w:b/>
                <w:bCs/>
                <w:color w:val="FFFFFF"/>
                <w:sz w:val="18"/>
                <w:szCs w:val="18"/>
              </w:rPr>
              <w:t xml:space="preserve">Slides</w:t>
            </w:r>
          </w:p>
        </w:tc>
      </w:tr>
      <w:tr>
        <w:tc>
          <w:tcPr>
            <w:tcW w:type="dxa" w:w="235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ORS 279C.800–870</w:t>
            </w:r>
          </w:p>
        </w:tc>
        <w:tc>
          <w:tcPr>
            <w:tcW w:type="dxa" w:w="541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Oregon Prevailing Wage Rate Law.</w:t>
            </w:r>
          </w:p>
        </w:tc>
        <w:tc>
          <w:tcPr>
            <w:tcW w:type="dxa" w:w="16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10</w:t>
            </w:r>
          </w:p>
        </w:tc>
      </w:tr>
      <w:tr>
        <w:tc>
          <w:tcPr>
            <w:tcW w:type="dxa" w:w="235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ORS 279C.838</w:t>
            </w:r>
          </w:p>
        </w:tc>
        <w:tc>
          <w:tcPr>
            <w:tcW w:type="dxa" w:w="541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Pay the higher of the state or federal rate on dual-jurisdiction projects.</w:t>
            </w:r>
          </w:p>
        </w:tc>
        <w:tc>
          <w:tcPr>
            <w:tcW w:type="dxa" w:w="16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24</w:t>
            </w:r>
          </w:p>
        </w:tc>
      </w:tr>
      <w:tr>
        <w:tc>
          <w:tcPr>
            <w:tcW w:type="dxa" w:w="235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Davis-Bacon Act &amp; Related Acts</w:t>
            </w:r>
          </w:p>
        </w:tc>
        <w:tc>
          <w:tcPr>
            <w:tcW w:type="dxa" w:w="541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Federal prevailing wage; applies to CDBG-financed construction.</w:t>
            </w:r>
          </w:p>
        </w:tc>
        <w:tc>
          <w:tcPr>
            <w:tcW w:type="dxa" w:w="16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10, 23</w:t>
            </w:r>
          </w:p>
        </w:tc>
      </w:tr>
      <w:tr>
        <w:tc>
          <w:tcPr>
            <w:tcW w:type="dxa" w:w="235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29 CFR Parts 1, 3, and 5</w:t>
            </w:r>
          </w:p>
        </w:tc>
        <w:tc>
          <w:tcPr>
            <w:tcW w:type="dxa" w:w="541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Davis-Bacon implementing regulations.</w:t>
            </w:r>
          </w:p>
        </w:tc>
        <w:tc>
          <w:tcPr>
            <w:tcW w:type="dxa" w:w="16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10</w:t>
            </w:r>
          </w:p>
        </w:tc>
      </w:tr>
      <w:tr>
        <w:tc>
          <w:tcPr>
            <w:tcW w:type="dxa" w:w="235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Davis-Bacon 2023 Final Rule</w:t>
            </w:r>
          </w:p>
        </w:tc>
        <w:tc>
          <w:tcPr>
            <w:tcW w:type="dxa" w:w="541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Modernized rule effective Oct 2023; remains in force for most provisions.</w:t>
            </w:r>
          </w:p>
        </w:tc>
        <w:tc>
          <w:tcPr>
            <w:tcW w:type="dxa" w:w="16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25</w:t>
            </w:r>
          </w:p>
        </w:tc>
      </w:tr>
      <w:tr>
        <w:tc>
          <w:tcPr>
            <w:tcW w:type="dxa" w:w="235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HUD Handbook 1344.1 Rev-3</w:t>
            </w:r>
          </w:p>
        </w:tc>
        <w:tc>
          <w:tcPr>
            <w:tcW w:type="dxa" w:w="541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HUD’s operational labor-standards manual.</w:t>
            </w:r>
          </w:p>
        </w:tc>
        <w:tc>
          <w:tcPr>
            <w:tcW w:type="dxa" w:w="16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10, 30</w:t>
            </w:r>
          </w:p>
        </w:tc>
      </w:tr>
      <w:tr>
        <w:tc>
          <w:tcPr>
            <w:tcW w:type="dxa" w:w="235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Form HUD-4010</w:t>
            </w:r>
          </w:p>
        </w:tc>
        <w:tc>
          <w:tcPr>
            <w:tcW w:type="dxa" w:w="541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Federal Labor Standards Provisions — incorporated into contracts at every tier.</w:t>
            </w:r>
          </w:p>
        </w:tc>
        <w:tc>
          <w:tcPr>
            <w:tcW w:type="dxa" w:w="16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8, 10, 30</w:t>
            </w:r>
          </w:p>
        </w:tc>
      </w:tr>
      <w:tr>
        <w:tc>
          <w:tcPr>
            <w:tcW w:type="dxa" w:w="235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Form WH-347 + BOLI Addendum</w:t>
            </w:r>
          </w:p>
        </w:tc>
        <w:tc>
          <w:tcPr>
            <w:tcW w:type="dxa" w:w="541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Certified payroll plus the Oregon supplement.</w:t>
            </w:r>
          </w:p>
        </w:tc>
        <w:tc>
          <w:tcPr>
            <w:tcW w:type="dxa" w:w="16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2</w:t>
            </w:r>
          </w:p>
        </w:tc>
      </w:tr>
      <w:tr>
        <w:tc>
          <w:tcPr>
            <w:tcW w:type="dxa" w:w="235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CDBG (HUD Title I)</w:t>
            </w:r>
          </w:p>
        </w:tc>
        <w:tc>
          <w:tcPr>
            <w:tcW w:type="dxa" w:w="541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Davis-Bacon applies to construction financed in whole or part with CDBG.</w:t>
            </w:r>
          </w:p>
        </w:tc>
        <w:tc>
          <w:tcPr>
            <w:tcW w:type="dxa" w:w="16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23</w:t>
            </w:r>
          </w:p>
        </w:tc>
      </w:tr>
      <w:tr>
        <w:tc>
          <w:tcPr>
            <w:tcW w:type="dxa" w:w="235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ARPA / SLFRF</w:t>
            </w:r>
          </w:p>
        </w:tc>
        <w:tc>
          <w:tcPr>
            <w:tcW w:type="dxa" w:w="541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DBA not triggered by recovery funds alone; Treasury labor reporting and state PWR may still apply; DBA applies when braided with a covered federal program.</w:t>
            </w:r>
          </w:p>
        </w:tc>
        <w:tc>
          <w:tcPr>
            <w:tcW w:type="dxa" w:w="16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23, 24</w:t>
            </w:r>
          </w:p>
        </w:tc>
      </w:tr>
      <w:tr>
        <w:tc>
          <w:tcPr>
            <w:tcW w:type="dxa" w:w="235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HOME / IIJA</w:t>
            </w:r>
          </w:p>
        </w:tc>
        <w:tc>
          <w:tcPr>
            <w:tcW w:type="dxa" w:w="541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Federal programs that can trigger Davis-Bacon when braided with other funds.</w:t>
            </w:r>
          </w:p>
        </w:tc>
        <w:tc>
          <w:tcPr>
            <w:tcW w:type="dxa" w:w="16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24</w:t>
            </w:r>
          </w:p>
        </w:tc>
      </w:tr>
      <w:tr>
        <w:tc>
          <w:tcPr>
            <w:tcW w:type="dxa" w:w="235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Oregon HB 2688 (2025)</w:t>
            </w:r>
          </w:p>
        </w:tc>
        <w:tc>
          <w:tcPr>
            <w:tcW w:type="dxa" w:w="541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Expands Oregon’s “public works” definition to certain off-site fabrication; effective July 1, 2026.</w:t>
            </w:r>
          </w:p>
        </w:tc>
        <w:tc>
          <w:tcPr>
            <w:tcW w:type="dxa" w:w="16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center"/>
            </w:pPr>
            <w:r>
              <w:rPr>
                <w:rFonts w:ascii="Arial" w:cs="Arial" w:eastAsia="Arial" w:hAnsi="Arial"/>
                <w:color w:val="595959"/>
                <w:sz w:val="17"/>
                <w:szCs w:val="17"/>
              </w:rPr>
              <w:t xml:space="preserve">25</w:t>
            </w:r>
          </w:p>
        </w:tc>
      </w:tr>
    </w:tbl>
    <w:p>
      <w:r>
        <w:br w:type="page"/>
      </w:r>
    </w:p>
    <w:p>
      <w:pPr>
        <w:pStyle w:val="Heading1"/>
        <w:spacing w:after="120" w:before="240"/>
      </w:pPr>
      <w:r>
        <w:rPr>
          <w:rFonts w:ascii="Arial" w:cs="Arial" w:eastAsia="Arial" w:hAnsi="Arial"/>
          <w:b/>
          <w:bCs/>
          <w:color w:val="006699"/>
          <w:sz w:val="30"/>
          <w:szCs w:val="30"/>
        </w:rPr>
        <w:t xml:space="preserve">Master citation index (all sessions)</w:t>
      </w:r>
    </w:p>
    <w:p>
      <w:pPr>
        <w:spacing w:after="100"/>
      </w:pPr>
      <w:r>
        <w:rPr>
          <w:rFonts w:ascii="Arial" w:cs="Arial" w:eastAsia="Arial" w:hAnsi="Arial"/>
          <w:color w:val="595959"/>
          <w:sz w:val="18"/>
          <w:szCs w:val="18"/>
        </w:rPr>
        <w:t xml:space="preserve">Every authority referenced across the four decks, grouped by category and de-duplicated.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9360"/>
            <w:gridSpan w:val="2"/>
            <w:tcBorders>
              <w:top w:val="single" w:color="BFBFBF" w:sz="4"/>
              <w:left w:val="single" w:color="BFBFBF" w:sz="4"/>
              <w:bottom w:val="single" w:color="BFBFBF" w:sz="4"/>
              <w:right w:val="single" w:color="BFBFBF" w:sz="4"/>
            </w:tcBorders>
            <w:shd w:fill="339933" w:val="clear"/>
            <w:tcMar>
              <w:top w:type="dxa" w:w="60"/>
              <w:left w:type="dxa" w:w="120"/>
              <w:bottom w:type="dxa" w:w="60"/>
              <w:right w:type="dxa" w:w="120"/>
            </w:tcMar>
            <w:vAlign w:val="center"/>
          </w:tcPr>
          <w:p>
            <w:pPr>
              <w:spacing w:after="0"/>
              <w:jc w:val="left"/>
            </w:pPr>
            <w:r>
              <w:rPr>
                <w:rFonts w:ascii="Arial" w:cs="Arial" w:eastAsia="Arial" w:hAnsi="Arial"/>
                <w:b/>
                <w:bCs/>
                <w:color w:val="FFFFFF"/>
                <w:sz w:val="17"/>
                <w:szCs w:val="17"/>
              </w:rPr>
              <w:t xml:space="preserve">FEDERAL STATUTES</w:t>
            </w:r>
          </w:p>
        </w:tc>
      </w:tr>
      <w:tr>
        <w:tc>
          <w:tcPr>
            <w:tcW w:type="dxa" w:w="30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Davis-Bacon Act — 40 U.S.C. §3141 et seq.</w:t>
            </w:r>
          </w:p>
        </w:tc>
        <w:tc>
          <w:tcPr>
            <w:tcW w:type="dxa" w:w="636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Federal prevailing wage on federally funded/assisted construction over $2,000, plus 60+ Related Acts.</w:t>
            </w:r>
          </w:p>
        </w:tc>
      </w:tr>
      <w:tr>
        <w:tc>
          <w:tcPr>
            <w:tcW w:type="dxa" w:w="30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18 U.S.C. §1001</w:t>
            </w:r>
          </w:p>
        </w:tc>
        <w:tc>
          <w:tcPr>
            <w:tcW w:type="dxa" w:w="636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Criminal liability for false certification of certified payroll.</w:t>
            </w:r>
          </w:p>
        </w:tc>
      </w:tr>
      <w:tr>
        <w:tc>
          <w:tcPr>
            <w:tcW w:type="dxa" w:w="30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Title VI — Civil Rights Act of 1964</w:t>
            </w:r>
          </w:p>
        </w:tc>
        <w:tc>
          <w:tcPr>
            <w:tcW w:type="dxa" w:w="636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Meaningful access for limited-English-proficient persons (federal financial assistance).</w:t>
            </w:r>
          </w:p>
        </w:tc>
      </w:tr>
      <w:tr>
        <w:tc>
          <w:tcPr>
            <w:tcW w:type="dxa" w:w="30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False Claims Act</w:t>
            </w:r>
          </w:p>
        </w:tc>
        <w:tc>
          <w:tcPr>
            <w:tcW w:type="dxa" w:w="636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Civil false-claims liability; informs the 6-year defensive record-retention standard.</w:t>
            </w:r>
          </w:p>
        </w:tc>
      </w:tr>
      <w:tr>
        <w:tc>
          <w:tcPr>
            <w:tcW w:type="dxa" w:w="9360"/>
            <w:gridSpan w:val="2"/>
            <w:tcBorders>
              <w:top w:val="single" w:color="BFBFBF" w:sz="4"/>
              <w:left w:val="single" w:color="BFBFBF" w:sz="4"/>
              <w:bottom w:val="single" w:color="BFBFBF" w:sz="4"/>
              <w:right w:val="single" w:color="BFBFBF" w:sz="4"/>
            </w:tcBorders>
            <w:shd w:fill="339933" w:val="clear"/>
            <w:tcMar>
              <w:top w:type="dxa" w:w="60"/>
              <w:left w:type="dxa" w:w="120"/>
              <w:bottom w:type="dxa" w:w="60"/>
              <w:right w:type="dxa" w:w="120"/>
            </w:tcMar>
            <w:vAlign w:val="center"/>
          </w:tcPr>
          <w:p>
            <w:pPr>
              <w:spacing w:after="0"/>
              <w:jc w:val="left"/>
            </w:pPr>
            <w:r>
              <w:rPr>
                <w:rFonts w:ascii="Arial" w:cs="Arial" w:eastAsia="Arial" w:hAnsi="Arial"/>
                <w:b/>
                <w:bCs/>
                <w:color w:val="FFFFFF"/>
                <w:sz w:val="17"/>
                <w:szCs w:val="17"/>
              </w:rPr>
              <w:t xml:space="preserve">FEDERAL REGULATIONS</w:t>
            </w:r>
          </w:p>
        </w:tc>
      </w:tr>
      <w:tr>
        <w:tc>
          <w:tcPr>
            <w:tcW w:type="dxa" w:w="30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29 CFR Parts 1, 3, and 5</w:t>
            </w:r>
          </w:p>
        </w:tc>
        <w:tc>
          <w:tcPr>
            <w:tcW w:type="dxa" w:w="636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Davis-Bacon implementing rules: wage determinations, payroll deductions, contract provisions, enforcement, and interview procedures.</w:t>
            </w:r>
          </w:p>
        </w:tc>
      </w:tr>
      <w:tr>
        <w:tc>
          <w:tcPr>
            <w:tcW w:type="dxa" w:w="30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29 CFR 5.5(a)(3)(ii)</w:t>
            </w:r>
          </w:p>
        </w:tc>
        <w:tc>
          <w:tcPr>
            <w:tcW w:type="dxa" w:w="636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Weekly certified payroll submission requirement.</w:t>
            </w:r>
          </w:p>
        </w:tc>
      </w:tr>
      <w:tr>
        <w:tc>
          <w:tcPr>
            <w:tcW w:type="dxa" w:w="30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29 CFR 5.6</w:t>
            </w:r>
          </w:p>
        </w:tc>
        <w:tc>
          <w:tcPr>
            <w:tcW w:type="dxa" w:w="636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Enforcement and records; basis for 3-year interview-record retention.</w:t>
            </w:r>
          </w:p>
        </w:tc>
      </w:tr>
      <w:tr>
        <w:tc>
          <w:tcPr>
            <w:tcW w:type="dxa" w:w="30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2 CFR 200.334</w:t>
            </w:r>
          </w:p>
        </w:tc>
        <w:tc>
          <w:tcPr>
            <w:tcW w:type="dxa" w:w="636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Uniform Guidance grantee record retention — 3 years after final expenditure report.</w:t>
            </w:r>
          </w:p>
        </w:tc>
      </w:tr>
      <w:tr>
        <w:tc>
          <w:tcPr>
            <w:tcW w:type="dxa" w:w="30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2024 / 2023 Davis-Bacon Final Rule</w:t>
            </w:r>
          </w:p>
        </w:tc>
        <w:tc>
          <w:tcPr>
            <w:tcW w:type="dxa" w:w="636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Modernized DBA regulations (effective Oct 2023); some 2024 provisions under nationwide injunction.</w:t>
            </w:r>
          </w:p>
        </w:tc>
      </w:tr>
      <w:tr>
        <w:tc>
          <w:tcPr>
            <w:tcW w:type="dxa" w:w="9360"/>
            <w:gridSpan w:val="2"/>
            <w:tcBorders>
              <w:top w:val="single" w:color="BFBFBF" w:sz="4"/>
              <w:left w:val="single" w:color="BFBFBF" w:sz="4"/>
              <w:bottom w:val="single" w:color="BFBFBF" w:sz="4"/>
              <w:right w:val="single" w:color="BFBFBF" w:sz="4"/>
            </w:tcBorders>
            <w:shd w:fill="339933" w:val="clear"/>
            <w:tcMar>
              <w:top w:type="dxa" w:w="60"/>
              <w:left w:type="dxa" w:w="120"/>
              <w:bottom w:type="dxa" w:w="60"/>
              <w:right w:type="dxa" w:w="120"/>
            </w:tcMar>
            <w:vAlign w:val="center"/>
          </w:tcPr>
          <w:p>
            <w:pPr>
              <w:spacing w:after="0"/>
              <w:jc w:val="left"/>
            </w:pPr>
            <w:r>
              <w:rPr>
                <w:rFonts w:ascii="Arial" w:cs="Arial" w:eastAsia="Arial" w:hAnsi="Arial"/>
                <w:b/>
                <w:bCs/>
                <w:color w:val="FFFFFF"/>
                <w:sz w:val="17"/>
                <w:szCs w:val="17"/>
              </w:rPr>
              <w:t xml:space="preserve">FEDERAL AGENCY GUIDANCE &amp; FORMS</w:t>
            </w:r>
          </w:p>
        </w:tc>
      </w:tr>
      <w:tr>
        <w:tc>
          <w:tcPr>
            <w:tcW w:type="dxa" w:w="30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HUD Handbook 1344.1 Rev-3</w:t>
            </w:r>
          </w:p>
        </w:tc>
        <w:tc>
          <w:tcPr>
            <w:tcW w:type="dxa" w:w="636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HUD operational labor-standards manual for grantees and subrecipients.</w:t>
            </w:r>
          </w:p>
        </w:tc>
      </w:tr>
      <w:tr>
        <w:tc>
          <w:tcPr>
            <w:tcW w:type="dxa" w:w="30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HUD LEP Guidance</w:t>
            </w:r>
          </w:p>
        </w:tc>
        <w:tc>
          <w:tcPr>
            <w:tcW w:type="dxa" w:w="636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Meaningful language access on HUD-funded labor standards interviews.</w:t>
            </w:r>
          </w:p>
        </w:tc>
      </w:tr>
      <w:tr>
        <w:tc>
          <w:tcPr>
            <w:tcW w:type="dxa" w:w="30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Form WH-347 (rev. 01/2020)</w:t>
            </w:r>
          </w:p>
        </w:tc>
        <w:tc>
          <w:tcPr>
            <w:tcW w:type="dxa" w:w="636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Federal weekly certified payroll form.</w:t>
            </w:r>
          </w:p>
        </w:tc>
      </w:tr>
      <w:tr>
        <w:tc>
          <w:tcPr>
            <w:tcW w:type="dxa" w:w="30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Form WH-38</w:t>
            </w:r>
          </w:p>
        </w:tc>
        <w:tc>
          <w:tcPr>
            <w:tcW w:type="dxa" w:w="636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DOL on-site worker interview form (see form-number note, Session 3).</w:t>
            </w:r>
          </w:p>
        </w:tc>
      </w:tr>
      <w:tr>
        <w:tc>
          <w:tcPr>
            <w:tcW w:type="dxa" w:w="30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HUD-11 (Record of Employee Interview)</w:t>
            </w:r>
          </w:p>
        </w:tc>
        <w:tc>
          <w:tcPr>
            <w:tcW w:type="dxa" w:w="636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HUD on-site worker interview form.</w:t>
            </w:r>
          </w:p>
        </w:tc>
      </w:tr>
      <w:tr>
        <w:tc>
          <w:tcPr>
            <w:tcW w:type="dxa" w:w="30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Form HUD-4010</w:t>
            </w:r>
          </w:p>
        </w:tc>
        <w:tc>
          <w:tcPr>
            <w:tcW w:type="dxa" w:w="636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Federal Labor Standards Provisions incorporated into covered contracts.</w:t>
            </w:r>
          </w:p>
        </w:tc>
      </w:tr>
      <w:tr>
        <w:tc>
          <w:tcPr>
            <w:tcW w:type="dxa" w:w="9360"/>
            <w:gridSpan w:val="2"/>
            <w:tcBorders>
              <w:top w:val="single" w:color="BFBFBF" w:sz="4"/>
              <w:left w:val="single" w:color="BFBFBF" w:sz="4"/>
              <w:bottom w:val="single" w:color="BFBFBF" w:sz="4"/>
              <w:right w:val="single" w:color="BFBFBF" w:sz="4"/>
            </w:tcBorders>
            <w:shd w:fill="339933" w:val="clear"/>
            <w:tcMar>
              <w:top w:type="dxa" w:w="60"/>
              <w:left w:type="dxa" w:w="120"/>
              <w:bottom w:type="dxa" w:w="60"/>
              <w:right w:type="dxa" w:w="120"/>
            </w:tcMar>
            <w:vAlign w:val="center"/>
          </w:tcPr>
          <w:p>
            <w:pPr>
              <w:spacing w:after="0"/>
              <w:jc w:val="left"/>
            </w:pPr>
            <w:r>
              <w:rPr>
                <w:rFonts w:ascii="Arial" w:cs="Arial" w:eastAsia="Arial" w:hAnsi="Arial"/>
                <w:b/>
                <w:bCs/>
                <w:color w:val="FFFFFF"/>
                <w:sz w:val="17"/>
                <w:szCs w:val="17"/>
              </w:rPr>
              <w:t xml:space="preserve">OREGON STATUTES</w:t>
            </w:r>
          </w:p>
        </w:tc>
      </w:tr>
      <w:tr>
        <w:tc>
          <w:tcPr>
            <w:tcW w:type="dxa" w:w="30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ORS 279C.800–870</w:t>
            </w:r>
          </w:p>
        </w:tc>
        <w:tc>
          <w:tcPr>
            <w:tcW w:type="dxa" w:w="636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Oregon Prevailing Wage Rate (PWR) Law; $50,000 public-works threshold.</w:t>
            </w:r>
          </w:p>
        </w:tc>
      </w:tr>
      <w:tr>
        <w:tc>
          <w:tcPr>
            <w:tcW w:type="dxa" w:w="30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ORS 279C.540</w:t>
            </w:r>
          </w:p>
        </w:tc>
        <w:tc>
          <w:tcPr>
            <w:tcW w:type="dxa" w:w="636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Oregon overtime on public works (daily 8-hour / weekly 40-hour rule).</w:t>
            </w:r>
          </w:p>
        </w:tc>
      </w:tr>
      <w:tr>
        <w:tc>
          <w:tcPr>
            <w:tcW w:type="dxa" w:w="30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ORS 279C.838</w:t>
            </w:r>
          </w:p>
        </w:tc>
        <w:tc>
          <w:tcPr>
            <w:tcW w:type="dxa" w:w="636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Higher-of state/federal rate on dual-jurisdiction projects.</w:t>
            </w:r>
          </w:p>
        </w:tc>
      </w:tr>
      <w:tr>
        <w:tc>
          <w:tcPr>
            <w:tcW w:type="dxa" w:w="30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ORS 279C.845</w:t>
            </w:r>
          </w:p>
        </w:tc>
        <w:tc>
          <w:tcPr>
            <w:tcW w:type="dxa" w:w="636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Certified-payroll filing and recordkeeping.</w:t>
            </w:r>
          </w:p>
        </w:tc>
      </w:tr>
      <w:tr>
        <w:tc>
          <w:tcPr>
            <w:tcW w:type="dxa" w:w="30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ORS 279C (anti-retaliation)</w:t>
            </w:r>
          </w:p>
        </w:tc>
        <w:tc>
          <w:tcPr>
            <w:tcW w:type="dxa" w:w="636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Protects workers participating in compliance interviews.</w:t>
            </w:r>
          </w:p>
        </w:tc>
      </w:tr>
      <w:tr>
        <w:tc>
          <w:tcPr>
            <w:tcW w:type="dxa" w:w="30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ORS 279A</w:t>
            </w:r>
          </w:p>
        </w:tc>
        <w:tc>
          <w:tcPr>
            <w:tcW w:type="dxa" w:w="636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Oregon Public Contracting Code; language-access expectations.</w:t>
            </w:r>
          </w:p>
        </w:tc>
      </w:tr>
      <w:tr>
        <w:tc>
          <w:tcPr>
            <w:tcW w:type="dxa" w:w="30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HB 2688 (2025)</w:t>
            </w:r>
          </w:p>
        </w:tc>
        <w:tc>
          <w:tcPr>
            <w:tcW w:type="dxa" w:w="636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Expands “public works” to certain off-site fabrication; effective July 1, 2026.</w:t>
            </w:r>
          </w:p>
        </w:tc>
      </w:tr>
      <w:tr>
        <w:tc>
          <w:tcPr>
            <w:tcW w:type="dxa" w:w="9360"/>
            <w:gridSpan w:val="2"/>
            <w:tcBorders>
              <w:top w:val="single" w:color="BFBFBF" w:sz="4"/>
              <w:left w:val="single" w:color="BFBFBF" w:sz="4"/>
              <w:bottom w:val="single" w:color="BFBFBF" w:sz="4"/>
              <w:right w:val="single" w:color="BFBFBF" w:sz="4"/>
            </w:tcBorders>
            <w:shd w:fill="339933" w:val="clear"/>
            <w:tcMar>
              <w:top w:type="dxa" w:w="60"/>
              <w:left w:type="dxa" w:w="120"/>
              <w:bottom w:type="dxa" w:w="60"/>
              <w:right w:type="dxa" w:w="120"/>
            </w:tcMar>
            <w:vAlign w:val="center"/>
          </w:tcPr>
          <w:p>
            <w:pPr>
              <w:spacing w:after="0"/>
              <w:jc w:val="left"/>
            </w:pPr>
            <w:r>
              <w:rPr>
                <w:rFonts w:ascii="Arial" w:cs="Arial" w:eastAsia="Arial" w:hAnsi="Arial"/>
                <w:b/>
                <w:bCs/>
                <w:color w:val="FFFFFF"/>
                <w:sz w:val="17"/>
                <w:szCs w:val="17"/>
              </w:rPr>
              <w:t xml:space="preserve">OREGON ADMINISTRATIVE RULES &amp; FORMS</w:t>
            </w:r>
          </w:p>
        </w:tc>
      </w:tr>
      <w:tr>
        <w:tc>
          <w:tcPr>
            <w:tcW w:type="dxa" w:w="30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OAR Chapter 839, Division 25 (OAR 839-025)</w:t>
            </w:r>
          </w:p>
        </w:tc>
        <w:tc>
          <w:tcPr>
            <w:tcW w:type="dxa" w:w="636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BOLI’s PWR implementing rules.</w:t>
            </w:r>
          </w:p>
        </w:tc>
      </w:tr>
      <w:tr>
        <w:tc>
          <w:tcPr>
            <w:tcW w:type="dxa" w:w="30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OAR 839-025-0040</w:t>
            </w:r>
          </w:p>
        </w:tc>
        <w:tc>
          <w:tcPr>
            <w:tcW w:type="dxa" w:w="636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BOLI certified-payroll / records rule.</w:t>
            </w:r>
          </w:p>
        </w:tc>
      </w:tr>
      <w:tr>
        <w:tc>
          <w:tcPr>
            <w:tcW w:type="dxa" w:w="30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BOLI Addendum (Supplemental Statement)</w:t>
            </w:r>
          </w:p>
        </w:tc>
        <w:tc>
          <w:tcPr>
            <w:tcW w:type="dxa" w:w="636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Oregon supplement to the federal WH-347.</w:t>
            </w:r>
          </w:p>
        </w:tc>
      </w:tr>
      <w:tr>
        <w:tc>
          <w:tcPr>
            <w:tcW w:type="dxa" w:w="30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BOLI on-site interview record</w:t>
            </w:r>
          </w:p>
        </w:tc>
        <w:tc>
          <w:tcPr>
            <w:tcW w:type="dxa" w:w="636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Oregon worker-interview record with three Oregon-specific fields.</w:t>
            </w:r>
          </w:p>
        </w:tc>
      </w:tr>
      <w:tr>
        <w:tc>
          <w:tcPr>
            <w:tcW w:type="dxa" w:w="30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Form WH-118</w:t>
            </w:r>
          </w:p>
        </w:tc>
        <w:tc>
          <w:tcPr>
            <w:tcW w:type="dxa" w:w="636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Oregon public-works project notification filed with BOLI before work begins.</w:t>
            </w:r>
          </w:p>
        </w:tc>
      </w:tr>
      <w:tr>
        <w:tc>
          <w:tcPr>
            <w:tcW w:type="dxa" w:w="9360"/>
            <w:gridSpan w:val="2"/>
            <w:tcBorders>
              <w:top w:val="single" w:color="BFBFBF" w:sz="4"/>
              <w:left w:val="single" w:color="BFBFBF" w:sz="4"/>
              <w:bottom w:val="single" w:color="BFBFBF" w:sz="4"/>
              <w:right w:val="single" w:color="BFBFBF" w:sz="4"/>
            </w:tcBorders>
            <w:shd w:fill="339933" w:val="clear"/>
            <w:tcMar>
              <w:top w:type="dxa" w:w="60"/>
              <w:left w:type="dxa" w:w="120"/>
              <w:bottom w:type="dxa" w:w="60"/>
              <w:right w:type="dxa" w:w="120"/>
            </w:tcMar>
            <w:vAlign w:val="center"/>
          </w:tcPr>
          <w:p>
            <w:pPr>
              <w:spacing w:after="0"/>
              <w:jc w:val="left"/>
            </w:pPr>
            <w:r>
              <w:rPr>
                <w:rFonts w:ascii="Arial" w:cs="Arial" w:eastAsia="Arial" w:hAnsi="Arial"/>
                <w:b/>
                <w:bCs/>
                <w:color w:val="FFFFFF"/>
                <w:sz w:val="17"/>
                <w:szCs w:val="17"/>
              </w:rPr>
              <w:t xml:space="preserve">FUNDING PROGRAMS THAT TRIGGER LABOR STANDARDS</w:t>
            </w:r>
          </w:p>
        </w:tc>
      </w:tr>
      <w:tr>
        <w:tc>
          <w:tcPr>
            <w:tcW w:type="dxa" w:w="30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CDBG (HUD Title I)</w:t>
            </w:r>
          </w:p>
        </w:tc>
        <w:tc>
          <w:tcPr>
            <w:tcW w:type="dxa" w:w="636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Davis-Bacon applies to CDBG-financed construction over $2,000.</w:t>
            </w:r>
          </w:p>
        </w:tc>
      </w:tr>
      <w:tr>
        <w:tc>
          <w:tcPr>
            <w:tcW w:type="dxa" w:w="30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HOME Investment Partnerships</w:t>
            </w:r>
          </w:p>
        </w:tc>
        <w:tc>
          <w:tcPr>
            <w:tcW w:type="dxa" w:w="636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Labor standards attach at 12+ units.</w:t>
            </w:r>
          </w:p>
        </w:tc>
      </w:tr>
      <w:tr>
        <w:tc>
          <w:tcPr>
            <w:tcW w:type="dxa" w:w="30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Section 108 Loan Guarantee</w:t>
            </w:r>
          </w:p>
        </w:tc>
        <w:tc>
          <w:tcPr>
            <w:tcW w:type="dxa" w:w="636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HUD-assisted financing subject to labor standards.</w:t>
            </w:r>
          </w:p>
        </w:tc>
      </w:tr>
      <w:tr>
        <w:tc>
          <w:tcPr>
            <w:tcW w:type="dxa" w:w="30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ARPA / SLFRF</w:t>
            </w:r>
          </w:p>
        </w:tc>
        <w:tc>
          <w:tcPr>
            <w:tcW w:type="dxa" w:w="636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DBA not triggered alone; Treasury reporting + state PWR may apply; DBA when braided.</w:t>
            </w:r>
          </w:p>
        </w:tc>
      </w:tr>
      <w:tr>
        <w:tc>
          <w:tcPr>
            <w:tcW w:type="dxa" w:w="30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IIJA</w:t>
            </w:r>
          </w:p>
        </w:tc>
        <w:tc>
          <w:tcPr>
            <w:tcW w:type="dxa" w:w="636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Infrastructure program that can carry Davis-Bacon requirements.</w:t>
            </w:r>
          </w:p>
        </w:tc>
      </w:tr>
      <w:tr>
        <w:tc>
          <w:tcPr>
            <w:tcW w:type="dxa" w:w="30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USDA-RD; EPA SRF</w:t>
            </w:r>
          </w:p>
        </w:tc>
        <w:tc>
          <w:tcPr>
            <w:tcW w:type="dxa" w:w="636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Federal assistance programs that trigger Davis-Bacon.</w:t>
            </w:r>
          </w:p>
        </w:tc>
      </w:tr>
      <w:tr>
        <w:tc>
          <w:tcPr>
            <w:tcW w:type="dxa" w:w="9360"/>
            <w:gridSpan w:val="2"/>
            <w:tcBorders>
              <w:top w:val="single" w:color="BFBFBF" w:sz="4"/>
              <w:left w:val="single" w:color="BFBFBF" w:sz="4"/>
              <w:bottom w:val="single" w:color="BFBFBF" w:sz="4"/>
              <w:right w:val="single" w:color="BFBFBF" w:sz="4"/>
            </w:tcBorders>
            <w:shd w:fill="339933" w:val="clear"/>
            <w:tcMar>
              <w:top w:type="dxa" w:w="60"/>
              <w:left w:type="dxa" w:w="120"/>
              <w:bottom w:type="dxa" w:w="60"/>
              <w:right w:type="dxa" w:w="120"/>
            </w:tcMar>
            <w:vAlign w:val="center"/>
          </w:tcPr>
          <w:p>
            <w:pPr>
              <w:spacing w:after="0"/>
              <w:jc w:val="left"/>
            </w:pPr>
            <w:r>
              <w:rPr>
                <w:rFonts w:ascii="Arial" w:cs="Arial" w:eastAsia="Arial" w:hAnsi="Arial"/>
                <w:b/>
                <w:bCs/>
                <w:color w:val="FFFFFF"/>
                <w:sz w:val="17"/>
                <w:szCs w:val="17"/>
              </w:rPr>
              <w:t xml:space="preserve">KEY RESOURCES &amp; CONTACTS</w:t>
            </w:r>
          </w:p>
        </w:tc>
      </w:tr>
      <w:tr>
        <w:tc>
          <w:tcPr>
            <w:tcW w:type="dxa" w:w="30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SAM.gov</w:t>
            </w:r>
          </w:p>
        </w:tc>
        <w:tc>
          <w:tcPr>
            <w:tcW w:type="dxa" w:w="636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Federal wage determinations — sam.gov/content/wage-determinations.</w:t>
            </w:r>
          </w:p>
        </w:tc>
      </w:tr>
      <w:tr>
        <w:tc>
          <w:tcPr>
            <w:tcW w:type="dxa" w:w="30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dol.gov/agencies/whd</w:t>
            </w:r>
          </w:p>
        </w:tc>
        <w:tc>
          <w:tcPr>
            <w:tcW w:type="dxa" w:w="636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Davis-Bacon resources and the WH-347 form (dol.gov/whd/forms/wh347).</w:t>
            </w:r>
          </w:p>
        </w:tc>
      </w:tr>
      <w:tr>
        <w:tc>
          <w:tcPr>
            <w:tcW w:type="dxa" w:w="30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oregon.gov/boli</w:t>
            </w:r>
          </w:p>
        </w:tc>
        <w:tc>
          <w:tcPr>
            <w:tcW w:type="dxa" w:w="636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Oregon PWR rate books (Jan 1 / Jul 1), employer FAQ, and HB 2688 page.</w:t>
            </w:r>
          </w:p>
        </w:tc>
      </w:tr>
      <w:tr>
        <w:tc>
          <w:tcPr>
            <w:tcW w:type="dxa" w:w="30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oregonlegislature.gov</w:t>
            </w:r>
          </w:p>
        </w:tc>
        <w:tc>
          <w:tcPr>
            <w:tcW w:type="dxa" w:w="636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Oregon Revised Statutes — bills_laws/ors/ors279c.html.</w:t>
            </w:r>
          </w:p>
        </w:tc>
      </w:tr>
      <w:tr>
        <w:tc>
          <w:tcPr>
            <w:tcW w:type="dxa" w:w="300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BOLI Wage &amp; Hour Division</w:t>
            </w:r>
          </w:p>
        </w:tc>
        <w:tc>
          <w:tcPr>
            <w:tcW w:type="dxa" w:w="6360"/>
            <w:tcBorders>
              <w:top w:val="single" w:color="BFBFBF" w:sz="4"/>
              <w:left w:val="single" w:color="BFBFBF" w:sz="4"/>
              <w:bottom w:val="single" w:color="BFBFBF" w:sz="4"/>
              <w:right w:val="single" w:color="BFBFBF" w:sz="4"/>
            </w:tcBorders>
            <w:shd w:fill="EAF1F5" w:val="clear"/>
            <w:tcMar>
              <w:top w:type="dxa" w:w="60"/>
              <w:left w:type="dxa" w:w="120"/>
              <w:bottom w:type="dxa" w:w="60"/>
              <w:right w:type="dxa" w:w="120"/>
            </w:tcMar>
            <w:vAlign w:val="center"/>
          </w:tcPr>
          <w:p>
            <w:pPr>
              <w:spacing w:after="0"/>
              <w:jc w:val="left"/>
            </w:pPr>
            <w:r>
              <w:rPr>
                <w:rFonts w:ascii="Arial" w:cs="Arial" w:eastAsia="Arial" w:hAnsi="Arial"/>
                <w:sz w:val="18"/>
                <w:szCs w:val="18"/>
              </w:rPr>
              <w:t xml:space="preserve">971-673-0839 (general); 971-673-0844 referenced for anti-retaliation reporting. Confirm current number.</w:t>
            </w:r>
          </w:p>
        </w:tc>
      </w:tr>
      <w:tr>
        <w:tc>
          <w:tcPr>
            <w:tcW w:type="dxa" w:w="300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b/>
                <w:bCs/>
                <w:color w:val="006699"/>
                <w:sz w:val="18"/>
                <w:szCs w:val="18"/>
              </w:rPr>
              <w:t xml:space="preserve">U.S. DOL Wage &amp; Hour</w:t>
            </w:r>
          </w:p>
        </w:tc>
        <w:tc>
          <w:tcPr>
            <w:tcW w:type="dxa" w:w="6360"/>
            <w:tcBorders>
              <w:top w:val="single" w:color="BFBFBF" w:sz="4"/>
              <w:left w:val="single" w:color="BFBFBF" w:sz="4"/>
              <w:bottom w:val="single" w:color="BFBFBF" w:sz="4"/>
              <w:right w:val="single" w:color="BFBFBF" w:sz="4"/>
            </w:tcBorders>
            <w:tcMar>
              <w:top w:type="dxa" w:w="60"/>
              <w:left w:type="dxa" w:w="120"/>
              <w:bottom w:type="dxa" w:w="60"/>
              <w:right w:type="dxa" w:w="120"/>
            </w:tcMar>
            <w:vAlign w:val="center"/>
          </w:tcPr>
          <w:p>
            <w:pPr>
              <w:spacing w:after="0"/>
              <w:jc w:val="left"/>
            </w:pPr>
            <w:r>
              <w:rPr>
                <w:rFonts w:ascii="Arial" w:cs="Arial" w:eastAsia="Arial" w:hAnsi="Arial"/>
                <w:sz w:val="18"/>
                <w:szCs w:val="18"/>
              </w:rPr>
              <w:t xml:space="preserve">1-866-4-US-WAGE (1-866-487-9243).</w:t>
            </w:r>
          </w:p>
        </w:tc>
      </w:tr>
    </w:tbl>
    <w:p>
      <w:pPr>
        <w:spacing w:before="160"/>
      </w:pPr>
      <w:r>
        <w:rPr>
          <w:rFonts w:ascii="Arial" w:cs="Arial" w:eastAsia="Arial" w:hAnsi="Arial"/>
          <w:color w:val="595959"/>
          <w:sz w:val="16"/>
          <w:szCs w:val="16"/>
        </w:rPr>
        <w:t xml:space="preserve">Citations are reported as they appear in the Session 1–4 slide decks and speaker notes. This guide is a working reference, not legal advice; confirm each authority against its controlling source before relying on it.</w:t>
      </w:r>
    </w:p>
    <w:sectPr>
      <w:footerReference w:type="default" r:id="rId7"/>
      <w:pgSz w:w="12240" w:h="15840" w:orient="portrait"/>
      <w:pgMar w:top="1440" w:right="1440" w:bottom="126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tbl>
    <w:tblPr>
      <w:tblW w:type="dxa" w:w="9360"/>
      <w:tblBorders>
        <w:top w:val="none" w:color="FFFFFF" w:sz="0"/>
        <w:left w:val="none" w:color="FFFFFF" w:sz="0"/>
        <w:bottom w:val="none" w:color="FFFFFF" w:sz="0"/>
        <w:right w:val="none" w:color="FFFFFF" w:sz="0"/>
        <w:insideH w:val="none" w:color="FFFFFF" w:sz="0"/>
        <w:insideV w:val="none" w:color="FFFFFF" w:sz="0"/>
      </w:tblBorders>
    </w:tblPr>
    <w:tblGrid>
      <w:gridCol w:w="1560"/>
      <w:gridCol w:w="6240"/>
      <w:gridCol w:w="1560"/>
    </w:tblGrid>
    <w:tr>
      <w:tc>
        <w:tcPr>
          <w:tcW w:type="dxa" w:w="1560"/>
          <w:tcBorders>
            <w:top w:val="none" w:color="FFFFFF" w:sz="0"/>
            <w:left w:val="none" w:color="FFFFFF" w:sz="0"/>
            <w:bottom w:val="none" w:color="FFFFFF" w:sz="0"/>
            <w:right w:val="none" w:color="FFFFFF" w:sz="0"/>
          </w:tcBorders>
          <w:tcMar>
            <w:top w:type="dxa" w:w="20"/>
            <w:left w:type="dxa" w:w="0"/>
            <w:bottom w:type="dxa" w:w="20"/>
            <w:right w:type="dxa" w:w="0"/>
          </w:tcMar>
          <w:vAlign w:val="center"/>
        </w:tcPr>
        <w:p>
          <w:pPr>
            <w:jc w:val="left"/>
          </w:pPr>
          <w:r>
            <w:drawing>
              <wp:inline distT="0" distB="0" distL="0" distR="0">
                <wp:extent cx="590550" cy="457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590550" cy="457200"/>
                        </a:xfrm>
                        <a:prstGeom prst="rect">
                          <a:avLst/>
                        </a:prstGeom>
                      </pic:spPr>
                    </pic:pic>
                  </a:graphicData>
                </a:graphic>
              </wp:inline>
            </w:drawing>
          </w:r>
        </w:p>
      </w:tc>
      <w:tc>
        <w:tcPr>
          <w:tcW w:type="dxa" w:w="6240"/>
          <w:tcBorders>
            <w:top w:val="none" w:color="FFFFFF" w:sz="0"/>
            <w:left w:val="none" w:color="FFFFFF" w:sz="0"/>
            <w:bottom w:val="none" w:color="FFFFFF" w:sz="0"/>
            <w:right w:val="none" w:color="FFFFFF" w:sz="0"/>
          </w:tcBorders>
          <w:vAlign w:val="center"/>
        </w:tcPr>
        <w:p>
          <w:pPr>
            <w:spacing w:after="0"/>
            <w:jc w:val="center"/>
          </w:pPr>
          <w:r>
            <w:rPr>
              <w:rFonts w:ascii="Arial" w:cs="Arial" w:eastAsia="Arial" w:hAnsi="Arial"/>
              <w:b/>
              <w:bCs/>
              <w:color w:val="006699"/>
              <w:sz w:val="16"/>
              <w:szCs w:val="16"/>
            </w:rPr>
            <w:t xml:space="preserve">Rural Capacity Assistance Program</w:t>
          </w:r>
        </w:p>
        <w:p>
          <w:pPr>
            <w:spacing w:before="10"/>
            <w:jc w:val="center"/>
          </w:pPr>
          <w:r>
            <w:rPr>
              <w:rFonts w:ascii="Arial" w:cs="Arial" w:eastAsia="Arial" w:hAnsi="Arial"/>
              <w:color w:val="595959"/>
              <w:sz w:val="15"/>
              <w:szCs w:val="15"/>
            </w:rPr>
            <w:t xml:space="preserve">Page </w:t>
          </w:r>
          <w:r>
            <w:rPr>
              <w:rFonts w:ascii="Arial" w:cs="Arial" w:eastAsia="Arial" w:hAnsi="Arial"/>
              <w:color w:val="595959"/>
              <w:sz w:val="15"/>
              <w:szCs w:val="15"/>
            </w:rPr>
            <w:fldChar w:fldCharType="begin"/>
            <w:instrText xml:space="preserve">PAGE</w:instrText>
            <w:fldChar w:fldCharType="separate"/>
            <w:fldChar w:fldCharType="end"/>
          </w:r>
          <w:r>
            <w:rPr>
              <w:rFonts w:ascii="Arial" w:cs="Arial" w:eastAsia="Arial" w:hAnsi="Arial"/>
              <w:color w:val="595959"/>
              <w:sz w:val="15"/>
              <w:szCs w:val="15"/>
            </w:rPr>
            <w:t xml:space="preserve"> of </w:t>
          </w:r>
          <w:r>
            <w:rPr>
              <w:rFonts w:ascii="Arial" w:cs="Arial" w:eastAsia="Arial" w:hAnsi="Arial"/>
              <w:color w:val="595959"/>
              <w:sz w:val="15"/>
              <w:szCs w:val="15"/>
            </w:rPr>
            <w:fldChar w:fldCharType="begin"/>
            <w:instrText xml:space="preserve">NUMPAGES</w:instrText>
            <w:fldChar w:fldCharType="separate"/>
            <w:fldChar w:fldCharType="end"/>
          </w:r>
        </w:p>
      </w:tc>
      <w:tc>
        <w:tcPr>
          <w:tcW w:type="dxa" w:w="1560"/>
          <w:tcBorders>
            <w:top w:val="none" w:color="FFFFFF" w:sz="0"/>
            <w:left w:val="none" w:color="FFFFFF" w:sz="0"/>
            <w:bottom w:val="none" w:color="FFFFFF" w:sz="0"/>
            <w:right w:val="none" w:color="FFFFFF" w:sz="0"/>
          </w:tcBorders>
          <w:tcMar>
            <w:top w:type="dxa" w:w="20"/>
            <w:left w:type="dxa" w:w="0"/>
            <w:bottom w:type="dxa" w:w="20"/>
            <w:right w:type="dxa" w:w="0"/>
          </w:tcMar>
          <w:vAlign w:val="center"/>
        </w:tcPr>
        <w:p>
          <w:pPr>
            <w:jc w:val="right"/>
          </w:pPr>
          <w:r>
            <w:drawing>
              <wp:inline distT="0" distB="0" distL="0" distR="0">
                <wp:extent cx="914400" cy="2762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a:off x="0" y="0"/>
                          <a:ext cx="914400" cy="276225"/>
                        </a:xfrm>
                        <a:prstGeom prst="rect">
                          <a:avLst/>
                        </a:prstGeom>
                      </pic:spPr>
                    </pic:pic>
                  </a:graphicData>
                </a:graphic>
              </wp:inline>
            </w:drawing>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F1F1F"/>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339933" w:sz="8" w:space="3"/>
      </w:pBdr>
      <w:spacing w:after="120" w:before="240"/>
      <w:outlineLvl w:val="0"/>
    </w:pPr>
    <w:rPr>
      <w:rFonts w:ascii="Arial" w:cs="Arial" w:eastAsia="Arial" w:hAnsi="Arial"/>
      <w:b/>
      <w:bCs/>
      <w:color w:val="006699"/>
      <w:sz w:val="30"/>
      <w:szCs w:val="30"/>
    </w:rPr>
  </w:style>
  <w:style w:type="paragraph" w:styleId="Heading2">
    <w:name w:val="Heading 2"/>
    <w:basedOn w:val="Normal"/>
    <w:next w:val="Normal"/>
    <w:qFormat/>
    <w:pPr>
      <w:spacing w:after="60" w:before="200"/>
      <w:outlineLvl w:val="1"/>
    </w:pPr>
    <w:rPr>
      <w:rFonts w:ascii="Arial" w:cs="Arial" w:eastAsia="Arial" w:hAnsi="Arial"/>
      <w:b/>
      <w:bCs/>
      <w:color w:val="006699"/>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f8237aeb33b66a7e314839e226c3550a6a7b844a.png"/><Relationship Id="rId1" Type="http://schemas.openxmlformats.org/officeDocument/2006/relationships/image" Target="media/7abf1ea79f6806c148e564585db404632f7f236e.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Citation &amp; Reference Guide — Sessions 1–4</dc:title>
  <dc:creator>CAP Contract Alliance, LLC</dc:creator>
  <cp:lastModifiedBy>Un-named</cp:lastModifiedBy>
  <cp:revision>1</cp:revision>
  <dcterms:created xsi:type="dcterms:W3CDTF">2026-06-08T17:25:01.044Z</dcterms:created>
  <dcterms:modified xsi:type="dcterms:W3CDTF">2026-06-08T17:25:01.055Z</dcterms:modified>
</cp:coreProperties>
</file>

<file path=docProps/custom.xml><?xml version="1.0" encoding="utf-8"?>
<Properties xmlns="http://schemas.openxmlformats.org/officeDocument/2006/custom-properties" xmlns:vt="http://schemas.openxmlformats.org/officeDocument/2006/docPropsVTypes"/>
</file>